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B6939" w:rsidRDefault="007B6939">
      <w:pPr>
        <w:rPr>
          <w:rFonts w:ascii="Optima" w:hAnsi="Optima"/>
          <w:sz w:val="20"/>
          <w:szCs w:val="20"/>
        </w:rPr>
      </w:pPr>
    </w:p>
    <w:p w:rsidR="007B6939" w:rsidRPr="00B06BB8" w:rsidRDefault="007B6939" w:rsidP="00B06BB8">
      <w:pPr>
        <w:jc w:val="right"/>
      </w:pPr>
    </w:p>
    <w:p w:rsidR="007B6939" w:rsidRPr="009E370F" w:rsidRDefault="006D014E" w:rsidP="009E370F">
      <w:pPr>
        <w:pStyle w:val="NoSpacing"/>
        <w:jc w:val="center"/>
        <w:rPr>
          <w:rFonts w:ascii="Verdana" w:hAnsi="Verdana"/>
          <w:b/>
          <w:sz w:val="22"/>
          <w:szCs w:val="22"/>
        </w:rPr>
      </w:pPr>
      <w:r w:rsidRPr="009E370F">
        <w:rPr>
          <w:rFonts w:ascii="Verdana" w:hAnsi="Verdana"/>
          <w:b/>
          <w:sz w:val="22"/>
          <w:szCs w:val="22"/>
        </w:rPr>
        <w:t>CALL FOR PAPERS</w:t>
      </w:r>
    </w:p>
    <w:p w:rsidR="006D014E" w:rsidRPr="009E370F" w:rsidRDefault="006D014E" w:rsidP="009E370F">
      <w:pPr>
        <w:pStyle w:val="NoSpacing"/>
        <w:jc w:val="center"/>
        <w:rPr>
          <w:rFonts w:ascii="Verdana" w:hAnsi="Verdana"/>
          <w:b/>
          <w:sz w:val="22"/>
          <w:szCs w:val="22"/>
        </w:rPr>
      </w:pPr>
      <w:r w:rsidRPr="009E370F">
        <w:rPr>
          <w:rFonts w:ascii="Verdana" w:hAnsi="Verdana"/>
          <w:b/>
          <w:sz w:val="22"/>
          <w:szCs w:val="22"/>
        </w:rPr>
        <w:t>THE ARAB COUNCIL FOR THE SOCIAL SCIENCES</w:t>
      </w:r>
    </w:p>
    <w:p w:rsidR="006D014E" w:rsidRPr="009E370F" w:rsidRDefault="006D014E" w:rsidP="006808C7">
      <w:pPr>
        <w:pStyle w:val="NoSpacing"/>
        <w:jc w:val="center"/>
        <w:rPr>
          <w:rFonts w:ascii="Verdana" w:hAnsi="Verdana"/>
          <w:b/>
          <w:sz w:val="22"/>
          <w:szCs w:val="22"/>
        </w:rPr>
      </w:pPr>
      <w:r w:rsidRPr="009E370F">
        <w:rPr>
          <w:rFonts w:ascii="Verdana" w:hAnsi="Verdana"/>
          <w:b/>
          <w:sz w:val="22"/>
          <w:szCs w:val="22"/>
        </w:rPr>
        <w:t>INAUGURAL CONFERENCE</w:t>
      </w:r>
    </w:p>
    <w:p w:rsidR="006D014E" w:rsidRPr="009E370F" w:rsidRDefault="006D014E" w:rsidP="009E370F">
      <w:pPr>
        <w:pStyle w:val="NoSpacing"/>
        <w:jc w:val="center"/>
        <w:rPr>
          <w:rFonts w:ascii="Verdana" w:hAnsi="Verdana"/>
          <w:b/>
          <w:sz w:val="22"/>
          <w:szCs w:val="22"/>
        </w:rPr>
      </w:pPr>
      <w:r w:rsidRPr="009E370F">
        <w:rPr>
          <w:rFonts w:ascii="Verdana" w:hAnsi="Verdana"/>
          <w:b/>
          <w:sz w:val="22"/>
          <w:szCs w:val="22"/>
        </w:rPr>
        <w:t>MARCH 19-20, 2013</w:t>
      </w:r>
    </w:p>
    <w:p w:rsidR="006D014E" w:rsidRDefault="006D014E" w:rsidP="006D014E">
      <w:pPr>
        <w:pStyle w:val="BodyText"/>
        <w:rPr>
          <w:rFonts w:ascii="Verdana" w:hAnsi="Verdana"/>
          <w:b/>
          <w:sz w:val="21"/>
          <w:szCs w:val="21"/>
        </w:rPr>
      </w:pPr>
    </w:p>
    <w:p w:rsidR="00B06BB8" w:rsidRPr="009E370F" w:rsidRDefault="006D014E" w:rsidP="00CA3DEB">
      <w:pPr>
        <w:pStyle w:val="BodyText"/>
        <w:jc w:val="center"/>
        <w:rPr>
          <w:rFonts w:ascii="Verdana" w:hAnsi="Verdana"/>
          <w:b/>
          <w:sz w:val="21"/>
          <w:szCs w:val="21"/>
        </w:rPr>
      </w:pPr>
      <w:r>
        <w:rPr>
          <w:rFonts w:ascii="Verdana" w:hAnsi="Verdana"/>
          <w:b/>
          <w:sz w:val="21"/>
          <w:szCs w:val="21"/>
        </w:rPr>
        <w:t>DEADLINE: FEBRUARY 11, 2013</w:t>
      </w:r>
    </w:p>
    <w:p w:rsidR="007B6939" w:rsidRDefault="007B6939" w:rsidP="00A94934">
      <w:pPr>
        <w:pStyle w:val="BodyText"/>
        <w:jc w:val="both"/>
        <w:rPr>
          <w:rFonts w:ascii="Verdana" w:hAnsi="Verdana"/>
          <w:sz w:val="21"/>
          <w:szCs w:val="21"/>
        </w:rPr>
      </w:pPr>
      <w:r w:rsidRPr="00AD0FF0">
        <w:rPr>
          <w:rFonts w:ascii="Verdana" w:hAnsi="Verdana"/>
          <w:sz w:val="21"/>
          <w:szCs w:val="21"/>
        </w:rPr>
        <w:t>The Arab Council for the Social Sciences (ACSS) is a regional, independent non-profit organization headquartered in Beirut, Lebanon and working across the Arab region as well as globally. The ACSS is dedicated to strengthening social science research and knowledge production among individuals and academic/research institutions in the Arab region</w:t>
      </w:r>
      <w:r w:rsidR="00114AAD" w:rsidRPr="00AD0FF0">
        <w:rPr>
          <w:rFonts w:ascii="Verdana" w:hAnsi="Verdana"/>
          <w:sz w:val="21"/>
          <w:szCs w:val="21"/>
        </w:rPr>
        <w:t>.</w:t>
      </w:r>
    </w:p>
    <w:p w:rsidR="006D014E" w:rsidRPr="00AD0FF0" w:rsidRDefault="0010108D" w:rsidP="00A94934">
      <w:pPr>
        <w:pStyle w:val="BodyText"/>
        <w:jc w:val="both"/>
        <w:rPr>
          <w:rFonts w:ascii="Verdana" w:hAnsi="Verdana"/>
          <w:sz w:val="21"/>
          <w:szCs w:val="21"/>
        </w:rPr>
      </w:pPr>
      <w:r w:rsidRPr="0010108D">
        <w:rPr>
          <w:rFonts w:ascii="Verdana" w:hAnsi="Verdana" w:cstheme="majorBidi"/>
          <w:sz w:val="21"/>
          <w:szCs w:val="21"/>
        </w:rPr>
        <w:pict>
          <v:rect id="_x0000_i1025" style="width:0;height:1.5pt" o:hralign="center" o:hrstd="t" o:hr="t" fillcolor="gray" stroked="f"/>
        </w:pict>
      </w:r>
    </w:p>
    <w:p w:rsidR="006D014E" w:rsidRPr="006D014E" w:rsidRDefault="006D014E" w:rsidP="006D014E">
      <w:pPr>
        <w:spacing w:before="100" w:beforeAutospacing="1" w:after="100" w:afterAutospacing="1"/>
        <w:jc w:val="both"/>
        <w:rPr>
          <w:rFonts w:ascii="Verdana" w:eastAsia="Times New Roman" w:hAnsi="Verdana" w:cstheme="majorBidi"/>
          <w:sz w:val="21"/>
          <w:szCs w:val="21"/>
        </w:rPr>
      </w:pPr>
      <w:r w:rsidRPr="006D014E">
        <w:rPr>
          <w:rFonts w:ascii="Verdana" w:eastAsia="Times New Roman" w:hAnsi="Verdana" w:cstheme="majorBidi"/>
          <w:sz w:val="21"/>
          <w:szCs w:val="21"/>
        </w:rPr>
        <w:t xml:space="preserve">The Arab Council for the Social Sciences is pleased to announce its inaugural conference, </w:t>
      </w:r>
      <w:r>
        <w:rPr>
          <w:rFonts w:ascii="Verdana" w:eastAsia="Times New Roman" w:hAnsi="Verdana" w:cstheme="majorBidi"/>
          <w:sz w:val="21"/>
          <w:szCs w:val="21"/>
        </w:rPr>
        <w:t xml:space="preserve">titled </w:t>
      </w:r>
      <w:r w:rsidRPr="006D014E">
        <w:rPr>
          <w:rFonts w:ascii="Verdana" w:eastAsia="Times New Roman" w:hAnsi="Verdana" w:cstheme="majorBidi"/>
          <w:b/>
          <w:i/>
          <w:sz w:val="21"/>
          <w:szCs w:val="21"/>
        </w:rPr>
        <w:t>Arab Transformations: Interrogating the Social Sciences</w:t>
      </w:r>
      <w:r>
        <w:rPr>
          <w:rFonts w:ascii="Verdana" w:eastAsia="Times New Roman" w:hAnsi="Verdana" w:cstheme="majorBidi"/>
          <w:sz w:val="21"/>
          <w:szCs w:val="21"/>
        </w:rPr>
        <w:t xml:space="preserve">, </w:t>
      </w:r>
      <w:r w:rsidRPr="006D014E">
        <w:rPr>
          <w:rFonts w:ascii="Verdana" w:eastAsia="Times New Roman" w:hAnsi="Verdana" w:cstheme="majorBidi"/>
          <w:sz w:val="21"/>
          <w:szCs w:val="21"/>
        </w:rPr>
        <w:t>to be held in Beirut, Lebanon on March 19-20, 2013. The conference will showcase papers and panels from on-going projects of the ACSS including “</w:t>
      </w:r>
      <w:hyperlink r:id="rId7" w:history="1">
        <w:r w:rsidRPr="006D014E">
          <w:rPr>
            <w:rStyle w:val="Hyperlink"/>
            <w:rFonts w:ascii="Verdana" w:eastAsia="Times New Roman" w:hAnsi="Verdana" w:cstheme="majorBidi"/>
            <w:sz w:val="21"/>
            <w:szCs w:val="21"/>
          </w:rPr>
          <w:t>The New Paradigms Factory</w:t>
        </w:r>
      </w:hyperlink>
      <w:r w:rsidRPr="006D014E">
        <w:rPr>
          <w:rFonts w:ascii="Verdana" w:eastAsia="Times New Roman" w:hAnsi="Verdana" w:cstheme="majorBidi"/>
          <w:sz w:val="21"/>
          <w:szCs w:val="21"/>
        </w:rPr>
        <w:t>,” “</w:t>
      </w:r>
      <w:hyperlink r:id="rId8" w:history="1">
        <w:r w:rsidRPr="006D014E">
          <w:rPr>
            <w:rStyle w:val="Hyperlink"/>
            <w:rFonts w:ascii="Verdana" w:eastAsia="Times New Roman" w:hAnsi="Verdana" w:cstheme="majorBidi"/>
            <w:sz w:val="21"/>
            <w:szCs w:val="21"/>
          </w:rPr>
          <w:t>Inequality, Mobility and Development</w:t>
        </w:r>
      </w:hyperlink>
      <w:r w:rsidRPr="006D014E">
        <w:rPr>
          <w:rFonts w:ascii="Verdana" w:eastAsia="Times New Roman" w:hAnsi="Verdana" w:cstheme="majorBidi"/>
          <w:sz w:val="21"/>
          <w:szCs w:val="21"/>
        </w:rPr>
        <w:t>” and “</w:t>
      </w:r>
      <w:hyperlink r:id="rId9" w:history="1">
        <w:r w:rsidRPr="006D014E">
          <w:rPr>
            <w:rStyle w:val="Hyperlink"/>
            <w:rFonts w:ascii="Verdana" w:eastAsia="Times New Roman" w:hAnsi="Verdana" w:cstheme="majorBidi"/>
            <w:sz w:val="21"/>
            <w:szCs w:val="21"/>
          </w:rPr>
          <w:t xml:space="preserve">Producing the Public in the Arab </w:t>
        </w:r>
        <w:r w:rsidR="006808C7">
          <w:rPr>
            <w:rStyle w:val="Hyperlink"/>
            <w:rFonts w:ascii="Verdana" w:eastAsia="Times New Roman" w:hAnsi="Verdana" w:cstheme="majorBidi"/>
            <w:sz w:val="21"/>
            <w:szCs w:val="21"/>
          </w:rPr>
          <w:t>R</w:t>
        </w:r>
        <w:r w:rsidRPr="006D014E">
          <w:rPr>
            <w:rStyle w:val="Hyperlink"/>
            <w:rFonts w:ascii="Verdana" w:eastAsia="Times New Roman" w:hAnsi="Verdana" w:cstheme="majorBidi"/>
            <w:sz w:val="21"/>
            <w:szCs w:val="21"/>
          </w:rPr>
          <w:t>egion</w:t>
        </w:r>
      </w:hyperlink>
      <w:r w:rsidRPr="006D014E">
        <w:rPr>
          <w:rFonts w:ascii="Verdana" w:eastAsia="Times New Roman" w:hAnsi="Verdana" w:cstheme="majorBidi"/>
          <w:sz w:val="21"/>
          <w:szCs w:val="21"/>
        </w:rPr>
        <w:t>.” In addition</w:t>
      </w:r>
      <w:r>
        <w:rPr>
          <w:rFonts w:ascii="Verdana" w:eastAsia="Times New Roman" w:hAnsi="Verdana" w:cstheme="majorBidi"/>
          <w:sz w:val="21"/>
          <w:szCs w:val="21"/>
        </w:rPr>
        <w:t>,</w:t>
      </w:r>
      <w:r w:rsidRPr="006D014E">
        <w:rPr>
          <w:rFonts w:ascii="Verdana" w:eastAsia="Times New Roman" w:hAnsi="Verdana" w:cstheme="majorBidi"/>
          <w:sz w:val="21"/>
          <w:szCs w:val="21"/>
        </w:rPr>
        <w:t xml:space="preserve"> a number of panels will feature papers selected through an open call addressing the two themes </w:t>
      </w:r>
      <w:proofErr w:type="gramStart"/>
      <w:r w:rsidRPr="006D014E">
        <w:rPr>
          <w:rFonts w:ascii="Verdana" w:eastAsia="Times New Roman" w:hAnsi="Verdana" w:cstheme="majorBidi"/>
          <w:sz w:val="21"/>
          <w:szCs w:val="21"/>
        </w:rPr>
        <w:t>described</w:t>
      </w:r>
      <w:proofErr w:type="gramEnd"/>
      <w:r w:rsidRPr="006D014E">
        <w:rPr>
          <w:rFonts w:ascii="Verdana" w:eastAsia="Times New Roman" w:hAnsi="Verdana" w:cstheme="majorBidi"/>
          <w:sz w:val="21"/>
          <w:szCs w:val="21"/>
        </w:rPr>
        <w:t xml:space="preserve"> below. Papers will be selected based on two criteria:</w:t>
      </w:r>
    </w:p>
    <w:p w:rsidR="006D014E" w:rsidRPr="006D014E" w:rsidRDefault="006D014E" w:rsidP="006D014E">
      <w:pPr>
        <w:pStyle w:val="ListParagraph"/>
        <w:numPr>
          <w:ilvl w:val="0"/>
          <w:numId w:val="5"/>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The extent to which they engage seriously with the aim of the conference to challenge and/or nuance prevailing concepts and theories in the social sciences generally, and those pertaining to the Arab region particularly.</w:t>
      </w:r>
    </w:p>
    <w:p w:rsidR="006D014E" w:rsidRPr="006D014E" w:rsidRDefault="006D014E" w:rsidP="006D014E">
      <w:pPr>
        <w:pStyle w:val="ListParagraph"/>
        <w:numPr>
          <w:ilvl w:val="0"/>
          <w:numId w:val="5"/>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 xml:space="preserve">The empirical depth of the paper and the focus on innovative cases and locations, especially in relation to current social forces and mobilization in the Arab region. </w:t>
      </w:r>
    </w:p>
    <w:p w:rsidR="006D014E" w:rsidRPr="00B4781A" w:rsidRDefault="006D014E" w:rsidP="00CA3DEB">
      <w:pPr>
        <w:spacing w:before="100" w:beforeAutospacing="1" w:after="100" w:afterAutospacing="1"/>
        <w:jc w:val="both"/>
        <w:rPr>
          <w:rFonts w:ascii="Verdana" w:eastAsia="Times New Roman" w:hAnsi="Verdana" w:cstheme="majorBidi"/>
          <w:sz w:val="21"/>
          <w:szCs w:val="21"/>
        </w:rPr>
      </w:pPr>
      <w:r w:rsidRPr="00B4781A">
        <w:rPr>
          <w:rFonts w:ascii="Verdana" w:eastAsia="Times New Roman" w:hAnsi="Verdana" w:cstheme="majorBidi"/>
          <w:sz w:val="21"/>
          <w:szCs w:val="21"/>
        </w:rPr>
        <w:t>The conference is open to papers from all social science and allied disciplines.</w:t>
      </w:r>
      <w:r w:rsidR="00B4781A" w:rsidRPr="00B4781A">
        <w:rPr>
          <w:rFonts w:ascii="Verdana" w:eastAsia="Times New Roman" w:hAnsi="Verdana" w:cstheme="majorBidi"/>
          <w:sz w:val="21"/>
          <w:szCs w:val="21"/>
        </w:rPr>
        <w:t xml:space="preserve"> </w:t>
      </w:r>
      <w:r w:rsidR="00CA3DEB">
        <w:rPr>
          <w:rFonts w:ascii="Verdana" w:eastAsia="Times New Roman" w:hAnsi="Verdana" w:cstheme="majorBidi"/>
          <w:sz w:val="21"/>
          <w:szCs w:val="21"/>
        </w:rPr>
        <w:t xml:space="preserve">Researchers from the Arab region, whether currently resident in or outside the region, are particularly encouraged to apply. </w:t>
      </w:r>
      <w:r w:rsidR="00B4781A" w:rsidRPr="00B4781A">
        <w:rPr>
          <w:rFonts w:ascii="Verdana" w:eastAsia="Times New Roman" w:hAnsi="Verdana" w:cstheme="majorBidi"/>
          <w:sz w:val="21"/>
          <w:szCs w:val="21"/>
        </w:rPr>
        <w:t>Applicants must hold at least a MA degree and be actively engaged in social science research.</w:t>
      </w:r>
      <w:r w:rsidR="00D369A8">
        <w:rPr>
          <w:rFonts w:ascii="Verdana" w:eastAsia="Times New Roman" w:hAnsi="Verdana" w:cstheme="majorBidi"/>
          <w:sz w:val="21"/>
          <w:szCs w:val="21"/>
        </w:rPr>
        <w:t xml:space="preserve"> Papers may examine contemporary or historical phenomena</w:t>
      </w:r>
      <w:r w:rsidR="00CA3DEB">
        <w:rPr>
          <w:rFonts w:ascii="Verdana" w:eastAsia="Times New Roman" w:hAnsi="Verdana" w:cstheme="majorBidi"/>
          <w:sz w:val="21"/>
          <w:szCs w:val="21"/>
        </w:rPr>
        <w:t xml:space="preserve"> and</w:t>
      </w:r>
      <w:r w:rsidR="00D369A8">
        <w:rPr>
          <w:rFonts w:ascii="Verdana" w:eastAsia="Times New Roman" w:hAnsi="Verdana" w:cstheme="majorBidi"/>
          <w:sz w:val="21"/>
          <w:szCs w:val="21"/>
        </w:rPr>
        <w:t xml:space="preserve"> </w:t>
      </w:r>
      <w:r w:rsidR="00CA3DEB">
        <w:rPr>
          <w:rFonts w:ascii="Verdana" w:eastAsia="Times New Roman" w:hAnsi="Verdana" w:cstheme="majorBidi"/>
          <w:sz w:val="21"/>
          <w:szCs w:val="21"/>
        </w:rPr>
        <w:t>c</w:t>
      </w:r>
      <w:r w:rsidR="00D369A8">
        <w:rPr>
          <w:rFonts w:ascii="Verdana" w:eastAsia="Times New Roman" w:hAnsi="Verdana" w:cstheme="majorBidi"/>
          <w:sz w:val="21"/>
          <w:szCs w:val="21"/>
        </w:rPr>
        <w:t>omparative, cross-regional and global perspectives are encouraged</w:t>
      </w:r>
      <w:r w:rsidR="00CA3DEB">
        <w:rPr>
          <w:rFonts w:ascii="Verdana" w:hAnsi="Verdana"/>
          <w:sz w:val="21"/>
          <w:szCs w:val="21"/>
        </w:rPr>
        <w:t>.</w:t>
      </w:r>
    </w:p>
    <w:p w:rsidR="006D014E" w:rsidRPr="006D014E" w:rsidRDefault="006D014E" w:rsidP="006D014E">
      <w:pPr>
        <w:spacing w:before="100" w:beforeAutospacing="1" w:after="100" w:afterAutospacing="1"/>
        <w:jc w:val="both"/>
        <w:rPr>
          <w:rFonts w:ascii="Verdana" w:eastAsia="Times New Roman" w:hAnsi="Verdana" w:cstheme="majorBidi"/>
          <w:sz w:val="21"/>
          <w:szCs w:val="21"/>
        </w:rPr>
      </w:pPr>
      <w:r w:rsidRPr="006D014E">
        <w:rPr>
          <w:rFonts w:ascii="Verdana" w:eastAsia="Times New Roman" w:hAnsi="Verdana" w:cstheme="majorBidi"/>
          <w:sz w:val="21"/>
          <w:szCs w:val="21"/>
        </w:rPr>
        <w:t>Paper proposals should fall into o</w:t>
      </w:r>
      <w:r>
        <w:rPr>
          <w:rFonts w:ascii="Verdana" w:eastAsia="Times New Roman" w:hAnsi="Verdana" w:cstheme="majorBidi"/>
          <w:sz w:val="21"/>
          <w:szCs w:val="21"/>
        </w:rPr>
        <w:t>ne of the following two rubrics</w:t>
      </w:r>
      <w:r w:rsidR="001A6A0F">
        <w:rPr>
          <w:rFonts w:ascii="Verdana" w:eastAsia="Times New Roman" w:hAnsi="Verdana" w:cstheme="majorBidi"/>
          <w:sz w:val="21"/>
          <w:szCs w:val="21"/>
        </w:rPr>
        <w:t>:</w:t>
      </w:r>
      <w:r>
        <w:rPr>
          <w:rFonts w:ascii="Verdana" w:eastAsia="Times New Roman" w:hAnsi="Verdana" w:cstheme="majorBidi"/>
          <w:sz w:val="21"/>
          <w:szCs w:val="21"/>
        </w:rPr>
        <w:t xml:space="preserve"> </w:t>
      </w:r>
    </w:p>
    <w:p w:rsidR="006D014E" w:rsidRDefault="006D014E" w:rsidP="006D014E">
      <w:pPr>
        <w:spacing w:before="100" w:beforeAutospacing="1" w:after="100" w:afterAutospacing="1"/>
        <w:jc w:val="both"/>
        <w:rPr>
          <w:rFonts w:ascii="Verdana" w:eastAsia="Times New Roman" w:hAnsi="Verdana" w:cstheme="majorBidi"/>
          <w:b/>
          <w:bCs/>
          <w:sz w:val="21"/>
          <w:szCs w:val="21"/>
        </w:rPr>
      </w:pPr>
      <w:r w:rsidRPr="006D014E">
        <w:rPr>
          <w:rFonts w:ascii="Verdana" w:eastAsia="Times New Roman" w:hAnsi="Verdana" w:cstheme="majorBidi"/>
          <w:b/>
          <w:bCs/>
          <w:sz w:val="21"/>
          <w:szCs w:val="21"/>
        </w:rPr>
        <w:t>Theme 1: New/Old Social Movements</w:t>
      </w:r>
    </w:p>
    <w:p w:rsidR="006D014E" w:rsidRPr="006D014E" w:rsidRDefault="006D014E" w:rsidP="006808C7">
      <w:pPr>
        <w:spacing w:before="100" w:beforeAutospacing="1" w:after="100" w:afterAutospacing="1"/>
        <w:jc w:val="both"/>
        <w:rPr>
          <w:rFonts w:ascii="Verdana" w:eastAsia="Times New Roman" w:hAnsi="Verdana" w:cstheme="majorBidi"/>
          <w:b/>
          <w:bCs/>
          <w:sz w:val="21"/>
          <w:szCs w:val="21"/>
        </w:rPr>
      </w:pPr>
      <w:r w:rsidRPr="006D014E">
        <w:rPr>
          <w:rFonts w:ascii="Verdana" w:hAnsi="Verdana"/>
          <w:sz w:val="21"/>
          <w:szCs w:val="21"/>
          <w:lang w:bidi="ar-DZ"/>
        </w:rPr>
        <w:t>The transformations witnessed by the Arab region since 2011 raise questions concerning the nature of the social movements that are transforming the region in a context of sharply increasing social inequalities and the retreat of the state from its traditional economic and social functions. Many parties were caught by surprise at the rapid</w:t>
      </w:r>
      <w:r w:rsidR="006808C7">
        <w:rPr>
          <w:rFonts w:ascii="Verdana" w:hAnsi="Verdana"/>
          <w:sz w:val="21"/>
          <w:szCs w:val="21"/>
          <w:lang w:bidi="ar-DZ"/>
        </w:rPr>
        <w:t>ity of the</w:t>
      </w:r>
      <w:r w:rsidRPr="006D014E">
        <w:rPr>
          <w:rFonts w:ascii="Verdana" w:hAnsi="Verdana"/>
          <w:sz w:val="21"/>
          <w:szCs w:val="21"/>
          <w:lang w:bidi="ar-DZ"/>
        </w:rPr>
        <w:t xml:space="preserve"> changes </w:t>
      </w:r>
      <w:r w:rsidR="006808C7">
        <w:rPr>
          <w:rFonts w:ascii="Verdana" w:hAnsi="Verdana"/>
          <w:sz w:val="21"/>
          <w:szCs w:val="21"/>
          <w:lang w:bidi="ar-DZ"/>
        </w:rPr>
        <w:t xml:space="preserve">that </w:t>
      </w:r>
      <w:r w:rsidRPr="006D014E">
        <w:rPr>
          <w:rFonts w:ascii="Verdana" w:hAnsi="Verdana"/>
          <w:sz w:val="21"/>
          <w:szCs w:val="21"/>
          <w:lang w:bidi="ar-DZ"/>
        </w:rPr>
        <w:t>reach</w:t>
      </w:r>
      <w:r w:rsidR="006808C7">
        <w:rPr>
          <w:rFonts w:ascii="Verdana" w:hAnsi="Verdana"/>
          <w:sz w:val="21"/>
          <w:szCs w:val="21"/>
          <w:lang w:bidi="ar-DZ"/>
        </w:rPr>
        <w:t>ed</w:t>
      </w:r>
      <w:r w:rsidRPr="006D014E">
        <w:rPr>
          <w:rFonts w:ascii="Verdana" w:hAnsi="Verdana"/>
          <w:sz w:val="21"/>
          <w:szCs w:val="21"/>
          <w:lang w:bidi="ar-DZ"/>
        </w:rPr>
        <w:t xml:space="preserve"> the top echelons of regimes as well as</w:t>
      </w:r>
      <w:r w:rsidR="006808C7">
        <w:rPr>
          <w:rFonts w:ascii="Verdana" w:hAnsi="Verdana"/>
          <w:sz w:val="21"/>
          <w:szCs w:val="21"/>
          <w:lang w:bidi="ar-DZ"/>
        </w:rPr>
        <w:t xml:space="preserve"> by</w:t>
      </w:r>
      <w:r w:rsidRPr="006D014E">
        <w:rPr>
          <w:rFonts w:ascii="Verdana" w:hAnsi="Verdana"/>
          <w:sz w:val="21"/>
          <w:szCs w:val="21"/>
          <w:lang w:bidi="ar-DZ"/>
        </w:rPr>
        <w:t xml:space="preserve"> the holistic nature of the social movements that combine social, economic and normative demands. The social sciences need to interrogate the relationships between older and emergent social </w:t>
      </w:r>
      <w:r w:rsidRPr="006D014E">
        <w:rPr>
          <w:rFonts w:ascii="Verdana" w:hAnsi="Verdana"/>
          <w:sz w:val="21"/>
          <w:szCs w:val="21"/>
          <w:lang w:bidi="ar-DZ"/>
        </w:rPr>
        <w:lastRenderedPageBreak/>
        <w:t xml:space="preserve">movements, </w:t>
      </w:r>
      <w:r w:rsidR="006808C7">
        <w:rPr>
          <w:rFonts w:ascii="Verdana" w:hAnsi="Verdana"/>
          <w:sz w:val="21"/>
          <w:szCs w:val="21"/>
          <w:lang w:bidi="ar-DZ"/>
        </w:rPr>
        <w:t xml:space="preserve">especially in terms </w:t>
      </w:r>
      <w:r w:rsidR="00BF6113">
        <w:rPr>
          <w:rFonts w:ascii="Verdana" w:hAnsi="Verdana"/>
          <w:sz w:val="21"/>
          <w:szCs w:val="21"/>
          <w:lang w:bidi="ar-DZ"/>
        </w:rPr>
        <w:t xml:space="preserve">of </w:t>
      </w:r>
      <w:r w:rsidR="00BF6113" w:rsidRPr="006D014E">
        <w:rPr>
          <w:rFonts w:ascii="Verdana" w:hAnsi="Verdana"/>
          <w:sz w:val="21"/>
          <w:szCs w:val="21"/>
          <w:lang w:bidi="ar-DZ"/>
        </w:rPr>
        <w:t>their</w:t>
      </w:r>
      <w:r w:rsidRPr="006D014E">
        <w:rPr>
          <w:rFonts w:ascii="Verdana" w:hAnsi="Verdana"/>
          <w:sz w:val="21"/>
          <w:szCs w:val="21"/>
          <w:lang w:bidi="ar-DZ"/>
        </w:rPr>
        <w:t xml:space="preserve"> understandings and strategies of: the dynamics of social change; political legitimacy of </w:t>
      </w:r>
      <w:r w:rsidR="006808C7">
        <w:rPr>
          <w:rFonts w:ascii="Verdana" w:hAnsi="Verdana"/>
          <w:sz w:val="21"/>
          <w:szCs w:val="21"/>
          <w:lang w:bidi="ar-DZ"/>
        </w:rPr>
        <w:t>both regimes</w:t>
      </w:r>
      <w:r w:rsidRPr="006D014E">
        <w:rPr>
          <w:rFonts w:ascii="Verdana" w:hAnsi="Verdana"/>
          <w:sz w:val="21"/>
          <w:szCs w:val="21"/>
          <w:lang w:bidi="ar-DZ"/>
        </w:rPr>
        <w:t xml:space="preserve"> and oppositional movements; and the forms and practices of political representation. Also important to analyze are the wider and global contexts of these movements in terms of networks, funding and power relations.</w:t>
      </w:r>
    </w:p>
    <w:p w:rsidR="006D014E" w:rsidRPr="006D014E" w:rsidRDefault="006D014E" w:rsidP="006D014E">
      <w:pPr>
        <w:spacing w:before="100" w:beforeAutospacing="1" w:after="100" w:afterAutospacing="1"/>
        <w:jc w:val="both"/>
        <w:rPr>
          <w:rFonts w:ascii="Verdana" w:eastAsia="Times New Roman" w:hAnsi="Verdana" w:cstheme="majorBidi"/>
          <w:sz w:val="21"/>
          <w:szCs w:val="21"/>
        </w:rPr>
      </w:pPr>
      <w:r w:rsidRPr="006D014E">
        <w:rPr>
          <w:rFonts w:ascii="Verdana" w:eastAsia="Times New Roman" w:hAnsi="Verdana" w:cstheme="majorBidi"/>
          <w:sz w:val="21"/>
          <w:szCs w:val="21"/>
        </w:rPr>
        <w:t>Papers of relevance to this theme would examine cases related to:</w:t>
      </w:r>
    </w:p>
    <w:p w:rsidR="006D014E" w:rsidRPr="006D014E" w:rsidRDefault="006D014E" w:rsidP="006D014E">
      <w:pPr>
        <w:pStyle w:val="ListParagraph"/>
        <w:numPr>
          <w:ilvl w:val="0"/>
          <w:numId w:val="5"/>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 xml:space="preserve">The relationship between older and new social movements in particular countries and locations including discourses concerning the ‘organizational inadequacy’ of new movements and the call for them to renew their linkages to parties, unions and associations in order to become ‘more effective’; </w:t>
      </w:r>
    </w:p>
    <w:p w:rsidR="006D014E" w:rsidRPr="006D014E" w:rsidRDefault="006D014E" w:rsidP="005D1E94">
      <w:pPr>
        <w:pStyle w:val="ListParagraph"/>
        <w:numPr>
          <w:ilvl w:val="0"/>
          <w:numId w:val="5"/>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The study of social movements in terms of their structure and aims (e.g. labor unions, women’s movements, student movements)  evaluating the importance of social homogeneity and organization in the effectiveness of these movements;</w:t>
      </w:r>
    </w:p>
    <w:p w:rsidR="006D014E" w:rsidRPr="006D014E" w:rsidRDefault="006D014E" w:rsidP="006D014E">
      <w:pPr>
        <w:pStyle w:val="ListParagraph"/>
        <w:numPr>
          <w:ilvl w:val="0"/>
          <w:numId w:val="5"/>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A re-reading of the sociology of the rural and the urban and the role of rural/urban linkages in social movements, whether old or new;</w:t>
      </w:r>
    </w:p>
    <w:p w:rsidR="006D014E" w:rsidRPr="006D014E" w:rsidRDefault="00617A02" w:rsidP="005D1E94">
      <w:pPr>
        <w:pStyle w:val="ListParagraph"/>
        <w:numPr>
          <w:ilvl w:val="0"/>
          <w:numId w:val="5"/>
        </w:numPr>
        <w:spacing w:before="100" w:beforeAutospacing="1" w:after="100" w:afterAutospacing="1" w:line="240" w:lineRule="auto"/>
        <w:jc w:val="both"/>
        <w:rPr>
          <w:rFonts w:ascii="Verdana" w:eastAsia="Times New Roman" w:hAnsi="Verdana" w:cstheme="majorBidi"/>
          <w:sz w:val="21"/>
          <w:szCs w:val="21"/>
        </w:rPr>
      </w:pPr>
      <w:r w:rsidRPr="00BF6113">
        <w:rPr>
          <w:rFonts w:ascii="Verdana" w:eastAsia="Times New Roman" w:hAnsi="Verdana" w:cstheme="majorBidi"/>
          <w:sz w:val="21"/>
          <w:szCs w:val="21"/>
        </w:rPr>
        <w:t>The study of protest movements,</w:t>
      </w:r>
      <w:r w:rsidR="005D1E94" w:rsidRPr="00BF6113">
        <w:rPr>
          <w:rFonts w:ascii="Verdana" w:eastAsia="Times New Roman" w:hAnsi="Verdana" w:cstheme="majorBidi"/>
          <w:sz w:val="21"/>
          <w:szCs w:val="21"/>
        </w:rPr>
        <w:t xml:space="preserve"> old and new,</w:t>
      </w:r>
      <w:r w:rsidRPr="00BF6113">
        <w:rPr>
          <w:rFonts w:ascii="Verdana" w:eastAsia="Times New Roman" w:hAnsi="Verdana" w:cstheme="majorBidi"/>
          <w:sz w:val="21"/>
          <w:szCs w:val="21"/>
        </w:rPr>
        <w:t xml:space="preserve"> especially those reflecting local demands</w:t>
      </w:r>
      <w:r w:rsidR="005D1E94">
        <w:rPr>
          <w:rFonts w:ascii="Verdana" w:eastAsia="Times New Roman" w:hAnsi="Verdana" w:cstheme="majorBidi"/>
          <w:sz w:val="21"/>
          <w:szCs w:val="21"/>
        </w:rPr>
        <w:t>. How do</w:t>
      </w:r>
      <w:r w:rsidR="006D014E" w:rsidRPr="006D014E">
        <w:rPr>
          <w:rFonts w:ascii="Verdana" w:eastAsia="Times New Roman" w:hAnsi="Verdana" w:cstheme="majorBidi"/>
          <w:sz w:val="21"/>
          <w:szCs w:val="21"/>
        </w:rPr>
        <w:t xml:space="preserve"> new discourses of ‘broader freedoms’ and ‘increased ability to express demands’</w:t>
      </w:r>
      <w:r w:rsidR="005D1E94">
        <w:rPr>
          <w:rFonts w:ascii="Verdana" w:eastAsia="Times New Roman" w:hAnsi="Verdana" w:cstheme="majorBidi"/>
          <w:sz w:val="21"/>
          <w:szCs w:val="21"/>
        </w:rPr>
        <w:t xml:space="preserve"> affect such movements</w:t>
      </w:r>
      <w:proofErr w:type="gramStart"/>
      <w:r w:rsidR="005D1E94">
        <w:rPr>
          <w:rFonts w:ascii="Verdana" w:eastAsia="Times New Roman" w:hAnsi="Verdana" w:cstheme="majorBidi"/>
          <w:sz w:val="21"/>
          <w:szCs w:val="21"/>
        </w:rPr>
        <w:t>?</w:t>
      </w:r>
      <w:r w:rsidR="006D014E" w:rsidRPr="006D014E">
        <w:rPr>
          <w:rFonts w:ascii="Verdana" w:eastAsia="Times New Roman" w:hAnsi="Verdana" w:cstheme="majorBidi"/>
          <w:sz w:val="21"/>
          <w:szCs w:val="21"/>
        </w:rPr>
        <w:t>;</w:t>
      </w:r>
      <w:proofErr w:type="gramEnd"/>
    </w:p>
    <w:p w:rsidR="006D014E" w:rsidRPr="006D014E" w:rsidRDefault="006D014E" w:rsidP="006D014E">
      <w:pPr>
        <w:pStyle w:val="ListParagraph"/>
        <w:numPr>
          <w:ilvl w:val="0"/>
          <w:numId w:val="5"/>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The study of the phenomena of violence including symbolic violence, which can either erase or recognize the ‘other’, and physical violence, whether practiced by state forces or opposition movements.</w:t>
      </w:r>
    </w:p>
    <w:p w:rsidR="006D014E" w:rsidRPr="006D014E" w:rsidRDefault="006D014E" w:rsidP="006D014E">
      <w:pPr>
        <w:bidi/>
        <w:jc w:val="right"/>
        <w:rPr>
          <w:rFonts w:ascii="Verdana" w:eastAsia="Times New Roman" w:hAnsi="Verdana" w:cstheme="majorBidi"/>
          <w:b/>
          <w:bCs/>
          <w:sz w:val="21"/>
          <w:szCs w:val="21"/>
        </w:rPr>
      </w:pPr>
      <w:r w:rsidRPr="006D014E">
        <w:rPr>
          <w:rFonts w:ascii="Verdana" w:eastAsia="Times New Roman" w:hAnsi="Verdana" w:cstheme="majorBidi"/>
          <w:b/>
          <w:bCs/>
          <w:sz w:val="21"/>
          <w:szCs w:val="21"/>
        </w:rPr>
        <w:t>Theme 2: New/Old Political Orders</w:t>
      </w:r>
    </w:p>
    <w:p w:rsidR="006D014E" w:rsidRPr="006D014E" w:rsidRDefault="006D014E" w:rsidP="006D014E">
      <w:pPr>
        <w:spacing w:before="100" w:beforeAutospacing="1" w:after="100" w:afterAutospacing="1"/>
        <w:jc w:val="both"/>
        <w:rPr>
          <w:rFonts w:ascii="Verdana" w:eastAsia="Times New Roman" w:hAnsi="Verdana" w:cstheme="majorBidi"/>
          <w:sz w:val="21"/>
          <w:szCs w:val="21"/>
        </w:rPr>
      </w:pPr>
      <w:r w:rsidRPr="006D014E">
        <w:rPr>
          <w:rFonts w:ascii="Verdana" w:eastAsia="Times New Roman" w:hAnsi="Verdana" w:cstheme="majorBidi"/>
          <w:sz w:val="21"/>
          <w:szCs w:val="21"/>
        </w:rPr>
        <w:t xml:space="preserve">The uprisings in the Arab region, and the scramble to give meaning to them, have created both new geopolitical realities and new debates regarding the direction of the emerging regional political order(s). Following the apparent collapse of the old political order that had relied on Western-backed authoritarian states, non-state and transnational actors and networks--ranging from protestors and emergent social movements in cities like Cairo, Manama and Sana’a, to </w:t>
      </w:r>
      <w:proofErr w:type="spellStart"/>
      <w:r w:rsidRPr="006D014E">
        <w:rPr>
          <w:rFonts w:ascii="Verdana" w:eastAsia="Times New Roman" w:hAnsi="Verdana" w:cstheme="majorBidi"/>
          <w:sz w:val="21"/>
          <w:szCs w:val="21"/>
        </w:rPr>
        <w:t>Hizbullah</w:t>
      </w:r>
      <w:proofErr w:type="spellEnd"/>
      <w:r w:rsidRPr="006D014E">
        <w:rPr>
          <w:rFonts w:ascii="Verdana" w:eastAsia="Times New Roman" w:hAnsi="Verdana" w:cstheme="majorBidi"/>
          <w:sz w:val="21"/>
          <w:szCs w:val="21"/>
        </w:rPr>
        <w:t xml:space="preserve"> and other members of the ‘Resistance Axis’, to the Islamist and </w:t>
      </w:r>
      <w:proofErr w:type="spellStart"/>
      <w:r w:rsidRPr="006D014E">
        <w:rPr>
          <w:rFonts w:ascii="Verdana" w:eastAsia="Times New Roman" w:hAnsi="Verdana" w:cstheme="majorBidi"/>
          <w:sz w:val="21"/>
          <w:szCs w:val="21"/>
        </w:rPr>
        <w:t>Salafist</w:t>
      </w:r>
      <w:proofErr w:type="spellEnd"/>
      <w:r w:rsidRPr="006D014E">
        <w:rPr>
          <w:rFonts w:ascii="Verdana" w:eastAsia="Times New Roman" w:hAnsi="Verdana" w:cstheme="majorBidi"/>
          <w:sz w:val="21"/>
          <w:szCs w:val="21"/>
        </w:rPr>
        <w:t xml:space="preserve"> movements across the region, to regional security organizations such as the Gulf Cooperation Council—have become increasingly influential players. </w:t>
      </w:r>
    </w:p>
    <w:p w:rsidR="006D014E" w:rsidRPr="006D014E" w:rsidRDefault="006D014E" w:rsidP="006D014E">
      <w:pPr>
        <w:spacing w:before="100" w:beforeAutospacing="1" w:after="100" w:afterAutospacing="1"/>
        <w:jc w:val="both"/>
        <w:rPr>
          <w:rFonts w:ascii="Verdana" w:eastAsia="Times New Roman" w:hAnsi="Verdana" w:cstheme="majorBidi"/>
          <w:sz w:val="21"/>
          <w:szCs w:val="21"/>
        </w:rPr>
      </w:pPr>
      <w:r w:rsidRPr="006D014E">
        <w:rPr>
          <w:rFonts w:ascii="Verdana" w:eastAsia="Times New Roman" w:hAnsi="Verdana" w:cstheme="majorBidi"/>
          <w:sz w:val="21"/>
          <w:szCs w:val="21"/>
        </w:rPr>
        <w:t>Papers of relevance to this theme would examine cases related to:</w:t>
      </w:r>
    </w:p>
    <w:p w:rsidR="006D014E" w:rsidRPr="006D014E" w:rsidRDefault="006D014E" w:rsidP="006D014E">
      <w:pPr>
        <w:pStyle w:val="ListParagraph"/>
        <w:numPr>
          <w:ilvl w:val="0"/>
          <w:numId w:val="4"/>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Contradictory political pulls between centralizing and de-centralizing and/or fragmenting forces and logics within different countries of the region, as for example in S</w:t>
      </w:r>
      <w:r w:rsidRPr="006D014E">
        <w:rPr>
          <w:rFonts w:ascii="Verdana" w:hAnsi="Verdana" w:cstheme="majorBidi"/>
          <w:sz w:val="21"/>
          <w:szCs w:val="21"/>
        </w:rPr>
        <w:t>omalia, Sudan, Libya, Syria, Yemen, Iraq and Lebanon</w:t>
      </w:r>
      <w:r w:rsidRPr="006D014E">
        <w:rPr>
          <w:rFonts w:ascii="Verdana" w:eastAsia="Times New Roman" w:hAnsi="Verdana" w:cstheme="majorBidi"/>
          <w:sz w:val="21"/>
          <w:szCs w:val="21"/>
        </w:rPr>
        <w:t xml:space="preserve">. </w:t>
      </w:r>
    </w:p>
    <w:p w:rsidR="006D014E" w:rsidRPr="006D014E" w:rsidRDefault="006D014E" w:rsidP="006D014E">
      <w:pPr>
        <w:pStyle w:val="ListParagraph"/>
        <w:numPr>
          <w:ilvl w:val="0"/>
          <w:numId w:val="4"/>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Inter-state repercussions of events and violence within particular countries, both within the region and cross regionally (e.g. spillovers from Syria into Lebanon and Turkey; or from Libya into Mali)</w:t>
      </w:r>
    </w:p>
    <w:p w:rsidR="006D014E" w:rsidRPr="006D014E" w:rsidRDefault="006D014E" w:rsidP="006D014E">
      <w:pPr>
        <w:pStyle w:val="ListParagraph"/>
        <w:numPr>
          <w:ilvl w:val="0"/>
          <w:numId w:val="4"/>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The roles of older and newer regional powers such as Qatar, Turkey, Saudi Arabia and Iran in shaping new orders along lines favorable to their own perceived interests and those of their international patrons.</w:t>
      </w:r>
    </w:p>
    <w:p w:rsidR="006D014E" w:rsidRPr="006D014E" w:rsidRDefault="006D014E" w:rsidP="006D014E">
      <w:pPr>
        <w:pStyle w:val="ListParagraph"/>
        <w:numPr>
          <w:ilvl w:val="0"/>
          <w:numId w:val="4"/>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The global context</w:t>
      </w:r>
      <w:r w:rsidR="00FA643C">
        <w:rPr>
          <w:rFonts w:ascii="Verdana" w:eastAsia="Times New Roman" w:hAnsi="Verdana" w:cstheme="majorBidi"/>
          <w:sz w:val="21"/>
          <w:szCs w:val="21"/>
        </w:rPr>
        <w:t xml:space="preserve"> of these geopolitical shifts</w:t>
      </w:r>
      <w:r w:rsidRPr="006D014E">
        <w:rPr>
          <w:rFonts w:ascii="Verdana" w:eastAsia="Times New Roman" w:hAnsi="Verdana" w:cstheme="majorBidi"/>
          <w:sz w:val="21"/>
          <w:szCs w:val="21"/>
        </w:rPr>
        <w:t>, from the ailing neoliberal political economy</w:t>
      </w:r>
      <w:r w:rsidR="00B9263B">
        <w:rPr>
          <w:rFonts w:ascii="Verdana" w:eastAsia="Times New Roman" w:hAnsi="Verdana" w:cstheme="majorBidi"/>
          <w:sz w:val="21"/>
          <w:szCs w:val="21"/>
        </w:rPr>
        <w:t>,</w:t>
      </w:r>
      <w:r w:rsidRPr="006D014E">
        <w:rPr>
          <w:rFonts w:ascii="Verdana" w:eastAsia="Times New Roman" w:hAnsi="Verdana" w:cstheme="majorBidi"/>
          <w:sz w:val="21"/>
          <w:szCs w:val="21"/>
        </w:rPr>
        <w:t xml:space="preserve"> to the retreating US empire and neocolonial European aspirations, to the international organizations such as the United Nations, work</w:t>
      </w:r>
      <w:r w:rsidR="00FA643C">
        <w:rPr>
          <w:rFonts w:ascii="Verdana" w:eastAsia="Times New Roman" w:hAnsi="Verdana" w:cstheme="majorBidi"/>
          <w:sz w:val="21"/>
          <w:szCs w:val="21"/>
        </w:rPr>
        <w:t>ing</w:t>
      </w:r>
      <w:r w:rsidRPr="006D014E">
        <w:rPr>
          <w:rFonts w:ascii="Verdana" w:eastAsia="Times New Roman" w:hAnsi="Verdana" w:cstheme="majorBidi"/>
          <w:sz w:val="21"/>
          <w:szCs w:val="21"/>
        </w:rPr>
        <w:t xml:space="preserve"> in tandem with (or in contradiction to) the various state and non-state actors in the region.</w:t>
      </w:r>
    </w:p>
    <w:p w:rsidR="006D014E" w:rsidRPr="006D014E" w:rsidRDefault="006D014E" w:rsidP="006D014E">
      <w:pPr>
        <w:pStyle w:val="ListParagraph"/>
        <w:numPr>
          <w:ilvl w:val="0"/>
          <w:numId w:val="4"/>
        </w:numPr>
        <w:spacing w:before="100" w:beforeAutospacing="1" w:after="100" w:afterAutospacing="1" w:line="240" w:lineRule="auto"/>
        <w:jc w:val="both"/>
        <w:rPr>
          <w:rFonts w:ascii="Verdana" w:eastAsia="Times New Roman" w:hAnsi="Verdana" w:cstheme="majorBidi"/>
          <w:sz w:val="21"/>
          <w:szCs w:val="21"/>
        </w:rPr>
      </w:pPr>
      <w:r w:rsidRPr="006D014E">
        <w:rPr>
          <w:rFonts w:ascii="Verdana" w:eastAsia="Times New Roman" w:hAnsi="Verdana" w:cstheme="majorBidi"/>
          <w:sz w:val="21"/>
          <w:szCs w:val="21"/>
        </w:rPr>
        <w:t>The production of contested visions for, and meanings to, an emerging Arab political order(s), including new understanding of the state and of state-society relations.</w:t>
      </w:r>
    </w:p>
    <w:p w:rsidR="006D014E" w:rsidRPr="006D014E" w:rsidRDefault="00A32699" w:rsidP="006D014E">
      <w:pPr>
        <w:spacing w:before="100" w:beforeAutospacing="1" w:after="100" w:afterAutospacing="1"/>
        <w:jc w:val="both"/>
        <w:rPr>
          <w:rFonts w:ascii="Verdana" w:eastAsia="Times New Roman" w:hAnsi="Verdana" w:cstheme="majorBidi"/>
          <w:sz w:val="21"/>
          <w:szCs w:val="21"/>
        </w:rPr>
      </w:pPr>
      <w:r>
        <w:rPr>
          <w:rFonts w:ascii="Verdana" w:eastAsia="Times New Roman" w:hAnsi="Verdana" w:cstheme="majorBidi"/>
          <w:b/>
          <w:bCs/>
          <w:sz w:val="21"/>
          <w:szCs w:val="21"/>
        </w:rPr>
        <w:lastRenderedPageBreak/>
        <w:t xml:space="preserve">Application </w:t>
      </w:r>
      <w:r w:rsidR="006D014E" w:rsidRPr="006D014E">
        <w:rPr>
          <w:rFonts w:ascii="Verdana" w:eastAsia="Times New Roman" w:hAnsi="Verdana" w:cstheme="majorBidi"/>
          <w:b/>
          <w:bCs/>
          <w:sz w:val="21"/>
          <w:szCs w:val="21"/>
        </w:rPr>
        <w:t>Instructions and</w:t>
      </w:r>
      <w:r>
        <w:rPr>
          <w:rFonts w:ascii="Verdana" w:eastAsia="Times New Roman" w:hAnsi="Verdana" w:cstheme="majorBidi"/>
          <w:b/>
          <w:bCs/>
          <w:sz w:val="21"/>
          <w:szCs w:val="21"/>
        </w:rPr>
        <w:t xml:space="preserve"> Conference</w:t>
      </w:r>
      <w:r w:rsidR="006D014E" w:rsidRPr="006D014E">
        <w:rPr>
          <w:rFonts w:ascii="Verdana" w:eastAsia="Times New Roman" w:hAnsi="Verdana" w:cstheme="majorBidi"/>
          <w:b/>
          <w:bCs/>
          <w:sz w:val="21"/>
          <w:szCs w:val="21"/>
        </w:rPr>
        <w:t xml:space="preserve"> Information</w:t>
      </w:r>
      <w:r w:rsidR="006D014E" w:rsidRPr="006D014E">
        <w:rPr>
          <w:rFonts w:ascii="Verdana" w:eastAsia="Times New Roman" w:hAnsi="Verdana" w:cstheme="majorBidi"/>
          <w:sz w:val="21"/>
          <w:szCs w:val="21"/>
        </w:rPr>
        <w:t>:</w:t>
      </w:r>
    </w:p>
    <w:p w:rsidR="006D014E" w:rsidRDefault="006D014E" w:rsidP="006D014E">
      <w:pPr>
        <w:spacing w:before="100" w:beforeAutospacing="1" w:after="100" w:afterAutospacing="1"/>
        <w:jc w:val="both"/>
        <w:rPr>
          <w:rFonts w:ascii="Verdana" w:eastAsia="Times New Roman" w:hAnsi="Verdana" w:cstheme="majorBidi"/>
          <w:sz w:val="21"/>
          <w:szCs w:val="21"/>
        </w:rPr>
      </w:pPr>
      <w:r>
        <w:rPr>
          <w:rFonts w:ascii="Verdana" w:eastAsia="Times New Roman" w:hAnsi="Verdana" w:cstheme="majorBidi"/>
          <w:sz w:val="21"/>
          <w:szCs w:val="21"/>
        </w:rPr>
        <w:t xml:space="preserve">To </w:t>
      </w:r>
      <w:r w:rsidRPr="006D014E">
        <w:rPr>
          <w:rFonts w:ascii="Verdana" w:eastAsia="Times New Roman" w:hAnsi="Verdana" w:cstheme="majorBidi"/>
          <w:sz w:val="21"/>
          <w:szCs w:val="21"/>
        </w:rPr>
        <w:t>submit a paper</w:t>
      </w:r>
      <w:r>
        <w:rPr>
          <w:rFonts w:ascii="Verdana" w:eastAsia="Times New Roman" w:hAnsi="Verdana" w:cstheme="majorBidi"/>
          <w:sz w:val="21"/>
          <w:szCs w:val="21"/>
        </w:rPr>
        <w:t xml:space="preserve"> proposal</w:t>
      </w:r>
      <w:r w:rsidRPr="006D014E">
        <w:rPr>
          <w:rFonts w:ascii="Verdana" w:eastAsia="Times New Roman" w:hAnsi="Verdana" w:cstheme="majorBidi"/>
          <w:sz w:val="21"/>
          <w:szCs w:val="21"/>
        </w:rPr>
        <w:t xml:space="preserve">, </w:t>
      </w:r>
      <w:r w:rsidR="008D7CCC">
        <w:rPr>
          <w:rFonts w:ascii="Verdana" w:eastAsia="Times New Roman" w:hAnsi="Verdana" w:cstheme="majorBidi"/>
          <w:sz w:val="21"/>
          <w:szCs w:val="21"/>
        </w:rPr>
        <w:t>please provide a completed</w:t>
      </w:r>
      <w:r w:rsidRPr="006D014E">
        <w:rPr>
          <w:rFonts w:ascii="Verdana" w:eastAsia="Times New Roman" w:hAnsi="Verdana" w:cstheme="majorBidi"/>
          <w:sz w:val="21"/>
          <w:szCs w:val="21"/>
        </w:rPr>
        <w:t xml:space="preserve"> cover sheet </w:t>
      </w:r>
      <w:r w:rsidR="008D7CCC">
        <w:rPr>
          <w:rFonts w:ascii="Verdana" w:eastAsia="Times New Roman" w:hAnsi="Verdana" w:cstheme="majorBidi"/>
          <w:sz w:val="21"/>
          <w:szCs w:val="21"/>
        </w:rPr>
        <w:t xml:space="preserve">(attached) </w:t>
      </w:r>
      <w:r w:rsidRPr="006D014E">
        <w:rPr>
          <w:rFonts w:ascii="Verdana" w:eastAsia="Times New Roman" w:hAnsi="Verdana" w:cstheme="majorBidi"/>
          <w:sz w:val="21"/>
          <w:szCs w:val="21"/>
        </w:rPr>
        <w:t>and an abstract of 1 page (or</w:t>
      </w:r>
      <w:r>
        <w:rPr>
          <w:rFonts w:ascii="Verdana" w:eastAsia="Times New Roman" w:hAnsi="Verdana" w:cstheme="majorBidi"/>
          <w:sz w:val="21"/>
          <w:szCs w:val="21"/>
        </w:rPr>
        <w:t xml:space="preserve"> </w:t>
      </w:r>
      <w:r w:rsidRPr="006D014E">
        <w:rPr>
          <w:rFonts w:ascii="Verdana" w:eastAsia="Times New Roman" w:hAnsi="Verdana" w:cstheme="majorBidi"/>
          <w:sz w:val="21"/>
          <w:szCs w:val="21"/>
        </w:rPr>
        <w:t>approximately</w:t>
      </w:r>
      <w:r>
        <w:rPr>
          <w:rFonts w:ascii="Verdana" w:eastAsia="Times New Roman" w:hAnsi="Verdana" w:cstheme="majorBidi"/>
          <w:sz w:val="21"/>
          <w:szCs w:val="21"/>
        </w:rPr>
        <w:t xml:space="preserve"> </w:t>
      </w:r>
      <w:r w:rsidRPr="006D014E">
        <w:rPr>
          <w:rFonts w:ascii="Verdana" w:eastAsia="Times New Roman" w:hAnsi="Verdana" w:cstheme="majorBidi"/>
          <w:sz w:val="21"/>
          <w:szCs w:val="21"/>
        </w:rPr>
        <w:t xml:space="preserve">400 words). </w:t>
      </w:r>
      <w:r>
        <w:rPr>
          <w:rFonts w:ascii="Verdana" w:eastAsia="Times New Roman" w:hAnsi="Verdana" w:cstheme="majorBidi"/>
          <w:sz w:val="21"/>
          <w:szCs w:val="21"/>
        </w:rPr>
        <w:t xml:space="preserve">These documents should be emailed </w:t>
      </w:r>
      <w:r w:rsidRPr="006D014E">
        <w:rPr>
          <w:rFonts w:ascii="Verdana" w:eastAsia="Times New Roman" w:hAnsi="Verdana" w:cstheme="majorBidi"/>
          <w:sz w:val="21"/>
          <w:szCs w:val="21"/>
        </w:rPr>
        <w:t xml:space="preserve">to </w:t>
      </w:r>
      <w:hyperlink r:id="rId10" w:history="1">
        <w:r w:rsidRPr="006D014E">
          <w:rPr>
            <w:rStyle w:val="Hyperlink"/>
            <w:rFonts w:ascii="Verdana" w:eastAsia="Times New Roman" w:hAnsi="Verdana" w:cstheme="majorBidi"/>
            <w:sz w:val="21"/>
            <w:szCs w:val="21"/>
          </w:rPr>
          <w:t>admin@theacss.org</w:t>
        </w:r>
      </w:hyperlink>
      <w:r>
        <w:rPr>
          <w:rFonts w:ascii="Verdana" w:hAnsi="Verdana"/>
          <w:sz w:val="21"/>
          <w:szCs w:val="21"/>
        </w:rPr>
        <w:t xml:space="preserve"> by the submission deadline of </w:t>
      </w:r>
      <w:r w:rsidR="00617A02" w:rsidRPr="00617A02">
        <w:rPr>
          <w:rFonts w:ascii="Verdana" w:hAnsi="Verdana"/>
          <w:b/>
          <w:bCs/>
          <w:sz w:val="21"/>
          <w:szCs w:val="21"/>
        </w:rPr>
        <w:t xml:space="preserve">February 11, 2013 </w:t>
      </w:r>
      <w:proofErr w:type="gramStart"/>
      <w:r>
        <w:rPr>
          <w:rFonts w:ascii="Verdana" w:hAnsi="Verdana"/>
          <w:sz w:val="21"/>
          <w:szCs w:val="21"/>
        </w:rPr>
        <w:t>in</w:t>
      </w:r>
      <w:r w:rsidR="00640396">
        <w:rPr>
          <w:rFonts w:ascii="Verdana" w:hAnsi="Verdana"/>
          <w:sz w:val="21"/>
          <w:szCs w:val="21"/>
        </w:rPr>
        <w:t xml:space="preserve"> </w:t>
      </w:r>
      <w:r>
        <w:rPr>
          <w:rFonts w:ascii="Verdana" w:hAnsi="Verdana"/>
          <w:sz w:val="21"/>
          <w:szCs w:val="21"/>
        </w:rPr>
        <w:t>either</w:t>
      </w:r>
      <w:r w:rsidR="00BF6113">
        <w:rPr>
          <w:rFonts w:ascii="Verdana" w:hAnsi="Verdana"/>
          <w:sz w:val="21"/>
          <w:szCs w:val="21"/>
        </w:rPr>
        <w:t xml:space="preserve"> </w:t>
      </w:r>
      <w:r>
        <w:rPr>
          <w:rFonts w:ascii="Verdana" w:hAnsi="Verdana"/>
          <w:sz w:val="21"/>
          <w:szCs w:val="21"/>
        </w:rPr>
        <w:t>.</w:t>
      </w:r>
      <w:proofErr w:type="gramEnd"/>
      <w:r>
        <w:rPr>
          <w:rFonts w:ascii="Verdana" w:hAnsi="Verdana"/>
          <w:sz w:val="21"/>
          <w:szCs w:val="21"/>
        </w:rPr>
        <w:t>doc, .</w:t>
      </w:r>
      <w:proofErr w:type="spellStart"/>
      <w:r>
        <w:rPr>
          <w:rFonts w:ascii="Verdana" w:hAnsi="Verdana"/>
          <w:sz w:val="21"/>
          <w:szCs w:val="21"/>
        </w:rPr>
        <w:t>docx</w:t>
      </w:r>
      <w:proofErr w:type="spellEnd"/>
      <w:r>
        <w:rPr>
          <w:rFonts w:ascii="Verdana" w:hAnsi="Verdana"/>
          <w:sz w:val="21"/>
          <w:szCs w:val="21"/>
        </w:rPr>
        <w:t>, or .</w:t>
      </w:r>
      <w:proofErr w:type="spellStart"/>
      <w:r>
        <w:rPr>
          <w:rFonts w:ascii="Verdana" w:hAnsi="Verdana"/>
          <w:sz w:val="21"/>
          <w:szCs w:val="21"/>
        </w:rPr>
        <w:t>pdf</w:t>
      </w:r>
      <w:proofErr w:type="spellEnd"/>
      <w:r>
        <w:rPr>
          <w:rFonts w:ascii="Verdana" w:hAnsi="Verdana"/>
          <w:sz w:val="21"/>
          <w:szCs w:val="21"/>
        </w:rPr>
        <w:t xml:space="preserve"> format.</w:t>
      </w:r>
      <w:r>
        <w:rPr>
          <w:rFonts w:ascii="Verdana" w:eastAsia="Times New Roman" w:hAnsi="Verdana" w:cstheme="majorBidi"/>
          <w:sz w:val="21"/>
          <w:szCs w:val="21"/>
        </w:rPr>
        <w:t xml:space="preserve"> </w:t>
      </w:r>
      <w:r w:rsidRPr="006D014E">
        <w:rPr>
          <w:rFonts w:ascii="Verdana" w:eastAsia="Times New Roman" w:hAnsi="Verdana" w:cstheme="majorBidi"/>
          <w:sz w:val="21"/>
          <w:szCs w:val="21"/>
        </w:rPr>
        <w:t>Proposals may be submitted in Arabic, English or French</w:t>
      </w:r>
      <w:r w:rsidR="0017781D">
        <w:rPr>
          <w:rFonts w:ascii="Verdana" w:eastAsia="Times New Roman" w:hAnsi="Verdana" w:cstheme="majorBidi"/>
          <w:sz w:val="21"/>
          <w:szCs w:val="21"/>
        </w:rPr>
        <w:t xml:space="preserve"> and should be in the language of the planned paper and presentation</w:t>
      </w:r>
      <w:r w:rsidRPr="006D014E">
        <w:rPr>
          <w:rFonts w:ascii="Verdana" w:eastAsia="Times New Roman" w:hAnsi="Verdana" w:cstheme="majorBidi"/>
          <w:sz w:val="21"/>
          <w:szCs w:val="21"/>
        </w:rPr>
        <w:t>.</w:t>
      </w:r>
    </w:p>
    <w:p w:rsidR="00A32699" w:rsidRPr="006D014E" w:rsidRDefault="00A32699" w:rsidP="006D014E">
      <w:pPr>
        <w:spacing w:before="100" w:beforeAutospacing="1" w:after="100" w:afterAutospacing="1"/>
        <w:jc w:val="both"/>
        <w:rPr>
          <w:rFonts w:ascii="Verdana" w:eastAsia="Times New Roman" w:hAnsi="Verdana" w:cstheme="majorBidi"/>
          <w:sz w:val="21"/>
          <w:szCs w:val="21"/>
        </w:rPr>
      </w:pPr>
      <w:r>
        <w:rPr>
          <w:rFonts w:ascii="Verdana" w:eastAsia="Times New Roman" w:hAnsi="Verdana" w:cstheme="majorBidi"/>
          <w:sz w:val="21"/>
          <w:szCs w:val="21"/>
        </w:rPr>
        <w:t xml:space="preserve">Please note that applicants can submit a co-authored paper proposal. However, if selected for inclusion in the conference, the ACSS can only guarantee financial support for the primary author. The ACSS will decide if it is possible to provide support for a second author on a case-by-case basis after the selection decisions have been announced. </w:t>
      </w:r>
    </w:p>
    <w:p w:rsidR="006D014E" w:rsidRPr="0017781D" w:rsidRDefault="00617A02" w:rsidP="006D014E">
      <w:pPr>
        <w:jc w:val="both"/>
        <w:rPr>
          <w:rFonts w:ascii="Verdana" w:eastAsia="Times New Roman" w:hAnsi="Verdana" w:cstheme="majorBidi"/>
          <w:b/>
          <w:bCs/>
          <w:sz w:val="21"/>
          <w:szCs w:val="21"/>
        </w:rPr>
      </w:pPr>
      <w:r w:rsidRPr="00617A02">
        <w:rPr>
          <w:rFonts w:ascii="Verdana" w:eastAsia="Times New Roman" w:hAnsi="Verdana" w:cstheme="majorBidi"/>
          <w:b/>
          <w:bCs/>
          <w:sz w:val="21"/>
          <w:szCs w:val="21"/>
        </w:rPr>
        <w:t xml:space="preserve">Selection decisions will be made by February 20, 2013. </w:t>
      </w:r>
    </w:p>
    <w:p w:rsidR="00F04DEC" w:rsidRDefault="00F04DEC" w:rsidP="006D014E">
      <w:pPr>
        <w:jc w:val="both"/>
        <w:rPr>
          <w:rFonts w:ascii="Verdana" w:eastAsia="Times New Roman" w:hAnsi="Verdana" w:cstheme="majorBidi"/>
          <w:sz w:val="21"/>
          <w:szCs w:val="21"/>
        </w:rPr>
      </w:pPr>
    </w:p>
    <w:p w:rsidR="00F04DEC" w:rsidRPr="006D014E" w:rsidRDefault="0081600A" w:rsidP="0081600A">
      <w:pPr>
        <w:jc w:val="both"/>
        <w:rPr>
          <w:rFonts w:ascii="Verdana" w:eastAsia="Times New Roman" w:hAnsi="Verdana" w:cstheme="majorBidi"/>
          <w:sz w:val="21"/>
          <w:szCs w:val="21"/>
        </w:rPr>
      </w:pPr>
      <w:r>
        <w:rPr>
          <w:rFonts w:ascii="Verdana" w:eastAsia="Times New Roman" w:hAnsi="Verdana" w:cstheme="majorBidi"/>
          <w:sz w:val="21"/>
          <w:szCs w:val="21"/>
        </w:rPr>
        <w:t xml:space="preserve">Selected participants </w:t>
      </w:r>
      <w:r w:rsidR="0017781D">
        <w:rPr>
          <w:rFonts w:ascii="Verdana" w:eastAsia="Times New Roman" w:hAnsi="Verdana" w:cstheme="majorBidi"/>
          <w:sz w:val="21"/>
          <w:szCs w:val="21"/>
        </w:rPr>
        <w:t xml:space="preserve">are </w:t>
      </w:r>
      <w:r w:rsidR="00BF6113">
        <w:rPr>
          <w:rFonts w:ascii="Verdana" w:eastAsia="Times New Roman" w:hAnsi="Verdana" w:cstheme="majorBidi"/>
          <w:sz w:val="21"/>
          <w:szCs w:val="21"/>
        </w:rPr>
        <w:t xml:space="preserve">strongly </w:t>
      </w:r>
      <w:r w:rsidR="0017781D">
        <w:rPr>
          <w:rFonts w:ascii="Verdana" w:eastAsia="Times New Roman" w:hAnsi="Verdana" w:cstheme="majorBidi"/>
          <w:sz w:val="21"/>
          <w:szCs w:val="21"/>
        </w:rPr>
        <w:t xml:space="preserve">encouraged to </w:t>
      </w:r>
      <w:proofErr w:type="gramStart"/>
      <w:r w:rsidR="0017781D">
        <w:rPr>
          <w:rFonts w:ascii="Verdana" w:eastAsia="Times New Roman" w:hAnsi="Verdana" w:cstheme="majorBidi"/>
          <w:sz w:val="21"/>
          <w:szCs w:val="21"/>
        </w:rPr>
        <w:t xml:space="preserve">bring </w:t>
      </w:r>
      <w:r>
        <w:rPr>
          <w:rFonts w:ascii="Verdana" w:eastAsia="Times New Roman" w:hAnsi="Verdana" w:cstheme="majorBidi"/>
          <w:sz w:val="21"/>
          <w:szCs w:val="21"/>
        </w:rPr>
        <w:t xml:space="preserve"> completed</w:t>
      </w:r>
      <w:proofErr w:type="gramEnd"/>
      <w:r>
        <w:rPr>
          <w:rFonts w:ascii="Verdana" w:eastAsia="Times New Roman" w:hAnsi="Verdana" w:cstheme="majorBidi"/>
          <w:sz w:val="21"/>
          <w:szCs w:val="21"/>
        </w:rPr>
        <w:t xml:space="preserve"> papers</w:t>
      </w:r>
      <w:r w:rsidR="0017781D">
        <w:rPr>
          <w:rFonts w:ascii="Verdana" w:eastAsia="Times New Roman" w:hAnsi="Verdana" w:cstheme="majorBidi"/>
          <w:sz w:val="21"/>
          <w:szCs w:val="21"/>
        </w:rPr>
        <w:t xml:space="preserve"> for circulation at the conference. A</w:t>
      </w:r>
      <w:r w:rsidR="00F04DEC">
        <w:rPr>
          <w:rFonts w:ascii="Verdana" w:eastAsia="Times New Roman" w:hAnsi="Verdana" w:cstheme="majorBidi"/>
          <w:sz w:val="21"/>
          <w:szCs w:val="21"/>
        </w:rPr>
        <w:t>ll c</w:t>
      </w:r>
      <w:r w:rsidR="00F04DEC" w:rsidRPr="006D014E">
        <w:rPr>
          <w:rFonts w:ascii="Verdana" w:eastAsia="Times New Roman" w:hAnsi="Verdana" w:cstheme="majorBidi"/>
          <w:sz w:val="21"/>
          <w:szCs w:val="21"/>
        </w:rPr>
        <w:t>onference abstracts will be posted on the ACSS website</w:t>
      </w:r>
      <w:r>
        <w:rPr>
          <w:rFonts w:ascii="Verdana" w:eastAsia="Times New Roman" w:hAnsi="Verdana" w:cstheme="majorBidi"/>
          <w:sz w:val="21"/>
          <w:szCs w:val="21"/>
        </w:rPr>
        <w:t xml:space="preserve"> and</w:t>
      </w:r>
      <w:r w:rsidR="00F04DEC">
        <w:rPr>
          <w:rFonts w:ascii="Verdana" w:eastAsia="Times New Roman" w:hAnsi="Verdana" w:cstheme="majorBidi"/>
          <w:sz w:val="21"/>
          <w:szCs w:val="21"/>
        </w:rPr>
        <w:t xml:space="preserve"> made publicly available, </w:t>
      </w:r>
      <w:r>
        <w:rPr>
          <w:rFonts w:ascii="Verdana" w:eastAsia="Times New Roman" w:hAnsi="Verdana" w:cstheme="majorBidi"/>
          <w:sz w:val="21"/>
          <w:szCs w:val="21"/>
        </w:rPr>
        <w:t xml:space="preserve">and </w:t>
      </w:r>
      <w:r w:rsidR="00F04DEC">
        <w:rPr>
          <w:rFonts w:ascii="Verdana" w:eastAsia="Times New Roman" w:hAnsi="Verdana" w:cstheme="majorBidi"/>
          <w:sz w:val="21"/>
          <w:szCs w:val="21"/>
        </w:rPr>
        <w:t>paper presenters may be asked to revise the</w:t>
      </w:r>
      <w:r>
        <w:rPr>
          <w:rFonts w:ascii="Verdana" w:eastAsia="Times New Roman" w:hAnsi="Verdana" w:cstheme="majorBidi"/>
          <w:sz w:val="21"/>
          <w:szCs w:val="21"/>
        </w:rPr>
        <w:t>ir abstracts for posting</w:t>
      </w:r>
      <w:r w:rsidR="00F04DEC">
        <w:rPr>
          <w:rFonts w:ascii="Verdana" w:eastAsia="Times New Roman" w:hAnsi="Verdana" w:cstheme="majorBidi"/>
          <w:sz w:val="21"/>
          <w:szCs w:val="21"/>
        </w:rPr>
        <w:t xml:space="preserve">. In addition, after the conference </w:t>
      </w:r>
      <w:r w:rsidR="00F04DEC" w:rsidRPr="006D014E">
        <w:rPr>
          <w:rFonts w:ascii="Verdana" w:eastAsia="Times New Roman" w:hAnsi="Verdana" w:cstheme="majorBidi"/>
          <w:sz w:val="21"/>
          <w:szCs w:val="21"/>
        </w:rPr>
        <w:t>the ACSS will invite a number of papers for inclusion in one or more publications, which may include translation of the paper into different languages.</w:t>
      </w:r>
    </w:p>
    <w:p w:rsidR="006D014E" w:rsidRDefault="006D014E" w:rsidP="006D014E">
      <w:pPr>
        <w:jc w:val="both"/>
        <w:rPr>
          <w:rFonts w:ascii="Verdana" w:eastAsia="Times New Roman" w:hAnsi="Verdana" w:cstheme="majorBidi"/>
          <w:sz w:val="21"/>
          <w:szCs w:val="21"/>
        </w:rPr>
      </w:pPr>
    </w:p>
    <w:p w:rsidR="00F04DEC" w:rsidRDefault="00F04DEC" w:rsidP="00640396">
      <w:pPr>
        <w:jc w:val="both"/>
        <w:rPr>
          <w:rFonts w:ascii="Verdana" w:eastAsia="Times New Roman" w:hAnsi="Verdana" w:cstheme="majorBidi"/>
          <w:sz w:val="21"/>
          <w:szCs w:val="21"/>
        </w:rPr>
      </w:pPr>
      <w:r>
        <w:rPr>
          <w:rFonts w:ascii="Verdana" w:eastAsia="Times New Roman" w:hAnsi="Verdana" w:cstheme="majorBidi"/>
          <w:sz w:val="21"/>
          <w:szCs w:val="21"/>
        </w:rPr>
        <w:t xml:space="preserve">The ACSS Conference Committee will </w:t>
      </w:r>
      <w:r w:rsidR="00640396">
        <w:rPr>
          <w:rFonts w:ascii="Verdana" w:eastAsia="Times New Roman" w:hAnsi="Verdana" w:cstheme="majorBidi"/>
          <w:sz w:val="21"/>
          <w:szCs w:val="21"/>
        </w:rPr>
        <w:t xml:space="preserve">organize the </w:t>
      </w:r>
      <w:r>
        <w:rPr>
          <w:rFonts w:ascii="Verdana" w:eastAsia="Times New Roman" w:hAnsi="Verdana" w:cstheme="majorBidi"/>
          <w:sz w:val="21"/>
          <w:szCs w:val="21"/>
        </w:rPr>
        <w:t xml:space="preserve">selected papers </w:t>
      </w:r>
      <w:r w:rsidR="00640396">
        <w:rPr>
          <w:rFonts w:ascii="Verdana" w:eastAsia="Times New Roman" w:hAnsi="Verdana" w:cstheme="majorBidi"/>
          <w:sz w:val="21"/>
          <w:szCs w:val="21"/>
        </w:rPr>
        <w:t xml:space="preserve">in thematic </w:t>
      </w:r>
      <w:r>
        <w:rPr>
          <w:rFonts w:ascii="Verdana" w:eastAsia="Times New Roman" w:hAnsi="Verdana" w:cstheme="majorBidi"/>
          <w:sz w:val="21"/>
          <w:szCs w:val="21"/>
        </w:rPr>
        <w:t>panel</w:t>
      </w:r>
      <w:r w:rsidR="00640396">
        <w:rPr>
          <w:rFonts w:ascii="Verdana" w:eastAsia="Times New Roman" w:hAnsi="Verdana" w:cstheme="majorBidi"/>
          <w:sz w:val="21"/>
          <w:szCs w:val="21"/>
        </w:rPr>
        <w:t>s</w:t>
      </w:r>
      <w:r>
        <w:rPr>
          <w:rFonts w:ascii="Verdana" w:eastAsia="Times New Roman" w:hAnsi="Verdana" w:cstheme="majorBidi"/>
          <w:sz w:val="21"/>
          <w:szCs w:val="21"/>
        </w:rPr>
        <w:t xml:space="preserve">.  </w:t>
      </w:r>
      <w:r w:rsidRPr="006D014E">
        <w:rPr>
          <w:rFonts w:ascii="Verdana" w:eastAsia="Times New Roman" w:hAnsi="Verdana" w:cstheme="majorBidi"/>
          <w:sz w:val="21"/>
          <w:szCs w:val="21"/>
        </w:rPr>
        <w:t xml:space="preserve">Conference presentations </w:t>
      </w:r>
      <w:r>
        <w:rPr>
          <w:rFonts w:ascii="Verdana" w:eastAsia="Times New Roman" w:hAnsi="Verdana" w:cstheme="majorBidi"/>
          <w:sz w:val="21"/>
          <w:szCs w:val="21"/>
        </w:rPr>
        <w:t>should</w:t>
      </w:r>
      <w:r w:rsidRPr="006D014E">
        <w:rPr>
          <w:rFonts w:ascii="Verdana" w:eastAsia="Times New Roman" w:hAnsi="Verdana" w:cstheme="majorBidi"/>
          <w:sz w:val="21"/>
          <w:szCs w:val="21"/>
        </w:rPr>
        <w:t xml:space="preserve"> be 15 minutes per paper and may be presented in Arabic, English or French. </w:t>
      </w:r>
      <w:r w:rsidR="00640396">
        <w:rPr>
          <w:rFonts w:ascii="Verdana" w:eastAsia="Times New Roman" w:hAnsi="Verdana" w:cstheme="majorBidi"/>
          <w:sz w:val="21"/>
          <w:szCs w:val="21"/>
        </w:rPr>
        <w:t>Simultaneous translation from English and French into Arabic will be provided</w:t>
      </w:r>
      <w:r w:rsidR="00640396">
        <w:rPr>
          <w:rFonts w:ascii="Verdana" w:eastAsia="Times New Roman" w:hAnsi="Verdana" w:cstheme="majorBidi"/>
          <w:sz w:val="21"/>
          <w:szCs w:val="21"/>
        </w:rPr>
        <w:t xml:space="preserve"> but only if authors are able to provide the text in advance. </w:t>
      </w:r>
      <w:r>
        <w:rPr>
          <w:rFonts w:ascii="Verdana" w:eastAsia="Times New Roman" w:hAnsi="Verdana" w:cstheme="majorBidi"/>
          <w:sz w:val="21"/>
          <w:szCs w:val="21"/>
        </w:rPr>
        <w:t>The conference site will be A/V equipped. Additional details on the composition of individual panels will be available after selection decisions are announced in late</w:t>
      </w:r>
      <w:r w:rsidR="00BF6113">
        <w:rPr>
          <w:rFonts w:ascii="Verdana" w:eastAsia="Times New Roman" w:hAnsi="Verdana" w:cstheme="majorBidi"/>
          <w:sz w:val="21"/>
          <w:szCs w:val="21"/>
        </w:rPr>
        <w:t>-</w:t>
      </w:r>
      <w:r>
        <w:rPr>
          <w:rFonts w:ascii="Verdana" w:eastAsia="Times New Roman" w:hAnsi="Verdana" w:cstheme="majorBidi"/>
          <w:sz w:val="21"/>
          <w:szCs w:val="21"/>
        </w:rPr>
        <w:t>February.</w:t>
      </w:r>
    </w:p>
    <w:p w:rsidR="00F04DEC" w:rsidRDefault="00F04DEC" w:rsidP="006D014E">
      <w:pPr>
        <w:jc w:val="both"/>
        <w:rPr>
          <w:rFonts w:ascii="Verdana" w:eastAsia="Times New Roman" w:hAnsi="Verdana" w:cstheme="majorBidi"/>
          <w:sz w:val="21"/>
          <w:szCs w:val="21"/>
        </w:rPr>
      </w:pPr>
    </w:p>
    <w:p w:rsidR="006D014E" w:rsidRDefault="006D014E" w:rsidP="006D014E">
      <w:pPr>
        <w:jc w:val="both"/>
        <w:rPr>
          <w:rFonts w:ascii="Verdana" w:eastAsia="Times New Roman" w:hAnsi="Verdana" w:cstheme="majorBidi"/>
          <w:sz w:val="21"/>
          <w:szCs w:val="21"/>
        </w:rPr>
      </w:pPr>
      <w:r w:rsidRPr="006D014E">
        <w:rPr>
          <w:rFonts w:ascii="Verdana" w:eastAsia="Times New Roman" w:hAnsi="Verdana" w:cstheme="majorBidi"/>
          <w:sz w:val="21"/>
          <w:szCs w:val="21"/>
        </w:rPr>
        <w:t>Paper presenters will be covered fully for</w:t>
      </w:r>
      <w:r>
        <w:rPr>
          <w:rFonts w:ascii="Verdana" w:eastAsia="Times New Roman" w:hAnsi="Verdana" w:cstheme="majorBidi"/>
          <w:sz w:val="21"/>
          <w:szCs w:val="21"/>
        </w:rPr>
        <w:t xml:space="preserve"> economy-class travel and accommodation costs</w:t>
      </w:r>
      <w:r w:rsidR="00A32699">
        <w:rPr>
          <w:rFonts w:ascii="Verdana" w:eastAsia="Times New Roman" w:hAnsi="Verdana" w:cstheme="majorBidi"/>
          <w:sz w:val="21"/>
          <w:szCs w:val="21"/>
        </w:rPr>
        <w:t>. The ACSS will provide</w:t>
      </w:r>
      <w:r w:rsidR="00BF6113">
        <w:rPr>
          <w:rFonts w:ascii="Verdana" w:eastAsia="Times New Roman" w:hAnsi="Verdana" w:cstheme="majorBidi"/>
          <w:sz w:val="21"/>
          <w:szCs w:val="21"/>
        </w:rPr>
        <w:t xml:space="preserve"> </w:t>
      </w:r>
      <w:r>
        <w:rPr>
          <w:rFonts w:ascii="Verdana" w:eastAsia="Times New Roman" w:hAnsi="Verdana" w:cstheme="majorBidi"/>
          <w:sz w:val="21"/>
          <w:szCs w:val="21"/>
        </w:rPr>
        <w:t>up to three</w:t>
      </w:r>
      <w:r w:rsidR="00A32699">
        <w:rPr>
          <w:rFonts w:ascii="Verdana" w:eastAsia="Times New Roman" w:hAnsi="Verdana" w:cstheme="majorBidi"/>
          <w:sz w:val="21"/>
          <w:szCs w:val="21"/>
        </w:rPr>
        <w:t xml:space="preserve">-four </w:t>
      </w:r>
      <w:r>
        <w:rPr>
          <w:rFonts w:ascii="Verdana" w:eastAsia="Times New Roman" w:hAnsi="Verdana" w:cstheme="majorBidi"/>
          <w:sz w:val="21"/>
          <w:szCs w:val="21"/>
        </w:rPr>
        <w:t>nights</w:t>
      </w:r>
      <w:r w:rsidR="009E370F">
        <w:rPr>
          <w:rFonts w:ascii="Verdana" w:eastAsia="Times New Roman" w:hAnsi="Verdana" w:cstheme="majorBidi"/>
          <w:sz w:val="21"/>
          <w:szCs w:val="21"/>
        </w:rPr>
        <w:t xml:space="preserve">’ </w:t>
      </w:r>
      <w:r>
        <w:rPr>
          <w:rFonts w:ascii="Verdana" w:eastAsia="Times New Roman" w:hAnsi="Verdana" w:cstheme="majorBidi"/>
          <w:sz w:val="21"/>
          <w:szCs w:val="21"/>
        </w:rPr>
        <w:t>accommodations</w:t>
      </w:r>
      <w:r w:rsidR="00A32699">
        <w:rPr>
          <w:rFonts w:ascii="Verdana" w:eastAsia="Times New Roman" w:hAnsi="Verdana" w:cstheme="majorBidi"/>
          <w:sz w:val="21"/>
          <w:szCs w:val="21"/>
        </w:rPr>
        <w:t>, based on flight availability and travel itineraries.</w:t>
      </w:r>
      <w:r>
        <w:rPr>
          <w:rFonts w:ascii="Verdana" w:eastAsia="Times New Roman" w:hAnsi="Verdana" w:cstheme="majorBidi"/>
          <w:sz w:val="21"/>
          <w:szCs w:val="21"/>
        </w:rPr>
        <w:t xml:space="preserve"> </w:t>
      </w:r>
    </w:p>
    <w:p w:rsidR="007B6939" w:rsidRPr="006D014E" w:rsidRDefault="007B6939" w:rsidP="00F04DEC">
      <w:pPr>
        <w:jc w:val="both"/>
        <w:rPr>
          <w:rFonts w:ascii="Verdana" w:hAnsi="Verdana"/>
          <w:sz w:val="21"/>
          <w:szCs w:val="21"/>
        </w:rPr>
      </w:pPr>
    </w:p>
    <w:p w:rsidR="00F04DEC" w:rsidRDefault="00F04DEC" w:rsidP="00114AAD">
      <w:pPr>
        <w:rPr>
          <w:rFonts w:ascii="Verdana" w:hAnsi="Verdana"/>
          <w:sz w:val="21"/>
          <w:szCs w:val="21"/>
        </w:rPr>
      </w:pPr>
      <w:r>
        <w:rPr>
          <w:rFonts w:ascii="Verdana" w:hAnsi="Verdana"/>
          <w:sz w:val="21"/>
          <w:szCs w:val="21"/>
        </w:rPr>
        <w:t xml:space="preserve">If not selected to present a paper at the conference, please note that applicants </w:t>
      </w:r>
      <w:r w:rsidR="0017781D">
        <w:rPr>
          <w:rFonts w:ascii="Verdana" w:hAnsi="Verdana"/>
          <w:sz w:val="21"/>
          <w:szCs w:val="21"/>
        </w:rPr>
        <w:t>are encouraged to</w:t>
      </w:r>
      <w:r w:rsidR="00BF6113">
        <w:rPr>
          <w:rFonts w:ascii="Verdana" w:hAnsi="Verdana"/>
          <w:sz w:val="21"/>
          <w:szCs w:val="21"/>
        </w:rPr>
        <w:t xml:space="preserve"> </w:t>
      </w:r>
      <w:r>
        <w:rPr>
          <w:rFonts w:ascii="Verdana" w:hAnsi="Verdana"/>
          <w:sz w:val="21"/>
          <w:szCs w:val="21"/>
        </w:rPr>
        <w:t>register to attend the conference, which will be open to the public. Online registration forms will be available on the ACSS website by January 1</w:t>
      </w:r>
      <w:r w:rsidR="00CB1965">
        <w:rPr>
          <w:rFonts w:ascii="Verdana" w:hAnsi="Verdana"/>
          <w:sz w:val="21"/>
          <w:szCs w:val="21"/>
        </w:rPr>
        <w:t>5</w:t>
      </w:r>
      <w:r>
        <w:rPr>
          <w:rFonts w:ascii="Verdana" w:hAnsi="Verdana"/>
          <w:sz w:val="21"/>
          <w:szCs w:val="21"/>
        </w:rPr>
        <w:t>, 2013.</w:t>
      </w:r>
    </w:p>
    <w:p w:rsidR="00F04DEC" w:rsidRDefault="00F04DEC" w:rsidP="00114AAD">
      <w:pPr>
        <w:rPr>
          <w:rFonts w:ascii="Verdana" w:hAnsi="Verdana"/>
          <w:sz w:val="21"/>
          <w:szCs w:val="21"/>
        </w:rPr>
      </w:pPr>
    </w:p>
    <w:p w:rsidR="00114AAD" w:rsidRPr="006D014E" w:rsidRDefault="00114AAD" w:rsidP="00114AAD">
      <w:pPr>
        <w:rPr>
          <w:rFonts w:ascii="Verdana" w:hAnsi="Verdana"/>
          <w:sz w:val="21"/>
          <w:szCs w:val="21"/>
        </w:rPr>
      </w:pPr>
      <w:proofErr w:type="gramStart"/>
      <w:r w:rsidRPr="006D014E">
        <w:rPr>
          <w:rFonts w:ascii="Verdana" w:hAnsi="Verdana"/>
          <w:sz w:val="21"/>
          <w:szCs w:val="21"/>
        </w:rPr>
        <w:t>Questions?</w:t>
      </w:r>
      <w:proofErr w:type="gramEnd"/>
      <w:r w:rsidRPr="006D014E">
        <w:rPr>
          <w:rFonts w:ascii="Verdana" w:hAnsi="Verdana"/>
          <w:sz w:val="21"/>
          <w:szCs w:val="21"/>
        </w:rPr>
        <w:t xml:space="preserve"> Please contact: </w:t>
      </w:r>
      <w:hyperlink r:id="rId11" w:history="1">
        <w:r w:rsidR="006D014E" w:rsidRPr="006D014E">
          <w:rPr>
            <w:rStyle w:val="Hyperlink"/>
            <w:rFonts w:ascii="Verdana" w:eastAsia="Times New Roman" w:hAnsi="Verdana" w:cstheme="majorBidi"/>
            <w:sz w:val="21"/>
            <w:szCs w:val="21"/>
          </w:rPr>
          <w:t>admin@theacss.org</w:t>
        </w:r>
      </w:hyperlink>
    </w:p>
    <w:p w:rsidR="00114AAD" w:rsidRPr="006D014E" w:rsidRDefault="00114AAD" w:rsidP="00114AAD">
      <w:pPr>
        <w:rPr>
          <w:rFonts w:ascii="Verdana" w:hAnsi="Verdana"/>
          <w:sz w:val="21"/>
          <w:szCs w:val="21"/>
        </w:rPr>
      </w:pPr>
    </w:p>
    <w:p w:rsidR="00114AAD" w:rsidRPr="00A94934" w:rsidRDefault="00114AAD" w:rsidP="006D014E">
      <w:pPr>
        <w:jc w:val="center"/>
        <w:rPr>
          <w:rFonts w:ascii="Verdana" w:hAnsi="Verdana"/>
          <w:sz w:val="18"/>
          <w:szCs w:val="18"/>
        </w:rPr>
      </w:pPr>
      <w:r w:rsidRPr="00A94934">
        <w:rPr>
          <w:rFonts w:ascii="Verdana" w:hAnsi="Verdana"/>
          <w:sz w:val="18"/>
          <w:szCs w:val="18"/>
        </w:rPr>
        <w:t>The Arab Council for the Social Sciences</w:t>
      </w:r>
    </w:p>
    <w:p w:rsidR="00114AAD" w:rsidRPr="00A94934" w:rsidRDefault="00114AAD" w:rsidP="006D014E">
      <w:pPr>
        <w:jc w:val="center"/>
        <w:rPr>
          <w:rFonts w:ascii="Verdana" w:hAnsi="Verdana"/>
          <w:sz w:val="18"/>
          <w:szCs w:val="18"/>
        </w:rPr>
      </w:pPr>
      <w:proofErr w:type="gramStart"/>
      <w:r w:rsidRPr="00A94934">
        <w:rPr>
          <w:rFonts w:ascii="Verdana" w:hAnsi="Verdana"/>
          <w:sz w:val="18"/>
          <w:szCs w:val="18"/>
        </w:rPr>
        <w:t>c/o</w:t>
      </w:r>
      <w:proofErr w:type="gramEnd"/>
      <w:r w:rsidRPr="00A94934">
        <w:rPr>
          <w:rFonts w:ascii="Verdana" w:hAnsi="Verdana"/>
          <w:sz w:val="18"/>
          <w:szCs w:val="18"/>
        </w:rPr>
        <w:t xml:space="preserve"> The Arab NGO Network for Development</w:t>
      </w:r>
    </w:p>
    <w:p w:rsidR="00114AAD" w:rsidRPr="00A94934" w:rsidRDefault="00114AAD" w:rsidP="006D014E">
      <w:pPr>
        <w:jc w:val="center"/>
        <w:rPr>
          <w:rFonts w:ascii="Verdana" w:hAnsi="Verdana"/>
          <w:sz w:val="18"/>
          <w:szCs w:val="18"/>
        </w:rPr>
      </w:pPr>
      <w:r w:rsidRPr="00A94934">
        <w:rPr>
          <w:rFonts w:ascii="Verdana" w:hAnsi="Verdana"/>
          <w:sz w:val="18"/>
          <w:szCs w:val="18"/>
        </w:rPr>
        <w:t xml:space="preserve">P.O. Box 14/5792 | </w:t>
      </w:r>
      <w:proofErr w:type="spellStart"/>
      <w:r w:rsidRPr="00A94934">
        <w:rPr>
          <w:rFonts w:ascii="Verdana" w:hAnsi="Verdana"/>
          <w:sz w:val="18"/>
          <w:szCs w:val="18"/>
        </w:rPr>
        <w:t>Mazraa</w:t>
      </w:r>
      <w:proofErr w:type="spellEnd"/>
      <w:r w:rsidRPr="00A94934">
        <w:rPr>
          <w:rFonts w:ascii="Verdana" w:hAnsi="Verdana"/>
          <w:sz w:val="18"/>
          <w:szCs w:val="18"/>
        </w:rPr>
        <w:t>, 1105 - 2070</w:t>
      </w:r>
      <w:r w:rsidRPr="00A94934">
        <w:rPr>
          <w:rFonts w:ascii="Verdana" w:hAnsi="Verdana"/>
          <w:sz w:val="18"/>
          <w:szCs w:val="18"/>
        </w:rPr>
        <w:br/>
        <w:t>Beirut, Lebanon</w:t>
      </w:r>
    </w:p>
    <w:p w:rsidR="007B6939" w:rsidRPr="00A94934" w:rsidRDefault="00114AAD" w:rsidP="006D014E">
      <w:pPr>
        <w:jc w:val="center"/>
        <w:rPr>
          <w:rFonts w:ascii="Verdana" w:hAnsi="Verdana"/>
          <w:sz w:val="18"/>
          <w:szCs w:val="18"/>
        </w:rPr>
      </w:pPr>
      <w:r w:rsidRPr="00A94934">
        <w:rPr>
          <w:rFonts w:ascii="Verdana" w:hAnsi="Verdana"/>
          <w:sz w:val="18"/>
          <w:szCs w:val="18"/>
        </w:rPr>
        <w:t>Fax number: +961 1 815 636</w:t>
      </w:r>
    </w:p>
    <w:p w:rsidR="00A32699" w:rsidRPr="00A94934" w:rsidRDefault="0010108D" w:rsidP="006D014E">
      <w:pPr>
        <w:jc w:val="center"/>
        <w:rPr>
          <w:rFonts w:ascii="Verdana" w:hAnsi="Verdana"/>
          <w:sz w:val="18"/>
          <w:szCs w:val="18"/>
        </w:rPr>
      </w:pPr>
      <w:hyperlink r:id="rId12" w:history="1">
        <w:r w:rsidR="00A32699" w:rsidRPr="00A94934">
          <w:rPr>
            <w:rStyle w:val="Hyperlink"/>
            <w:rFonts w:ascii="Verdana" w:hAnsi="Verdana"/>
            <w:sz w:val="18"/>
            <w:szCs w:val="18"/>
          </w:rPr>
          <w:t>http://www.theacss.org/</w:t>
        </w:r>
      </w:hyperlink>
    </w:p>
    <w:sectPr w:rsidR="00A32699" w:rsidRPr="00A94934" w:rsidSect="00B4781A">
      <w:headerReference w:type="default" r:id="rId13"/>
      <w:footerReference w:type="default" r:id="rId14"/>
      <w:headerReference w:type="first" r:id="rId15"/>
      <w:pgSz w:w="11906" w:h="16838"/>
      <w:pgMar w:top="1134" w:right="1134" w:bottom="1693" w:left="1134" w:header="576" w:footer="1134"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5253" w:rsidRDefault="00D15253">
      <w:r>
        <w:separator/>
      </w:r>
    </w:p>
  </w:endnote>
  <w:endnote w:type="continuationSeparator" w:id="0">
    <w:p w:rsidR="00D15253" w:rsidRDefault="00D15253">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Mangal">
    <w:panose1 w:val="00000400000000000000"/>
    <w:charset w:val="01"/>
    <w:family w:val="auto"/>
    <w:pitch w:val="variable"/>
    <w:sig w:usb0="00008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Optima">
    <w:altName w:val="MS Mincho"/>
    <w:charset w:val="80"/>
    <w:family w:val="auto"/>
    <w:pitch w:val="variable"/>
    <w:sig w:usb0="00000000" w:usb1="00000000" w:usb2="00000000" w:usb3="00000000" w:csb0="00000000"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F" w:rsidRPr="008D7CCC" w:rsidRDefault="001A6A0F">
    <w:pPr>
      <w:pStyle w:val="Footer"/>
      <w:jc w:val="right"/>
      <w:rPr>
        <w:rFonts w:ascii="Verdana" w:hAnsi="Verdana"/>
        <w:sz w:val="20"/>
        <w:szCs w:val="20"/>
      </w:rPr>
    </w:pPr>
    <w:r w:rsidRPr="008D7CCC">
      <w:rPr>
        <w:rFonts w:ascii="Verdana" w:hAnsi="Verdana"/>
        <w:sz w:val="20"/>
        <w:szCs w:val="20"/>
      </w:rPr>
      <w:t xml:space="preserve"> </w:t>
    </w:r>
    <w:r w:rsidR="0010108D" w:rsidRPr="008D7CCC">
      <w:rPr>
        <w:rFonts w:ascii="Verdana" w:hAnsi="Verdana"/>
        <w:sz w:val="20"/>
        <w:szCs w:val="20"/>
      </w:rPr>
      <w:fldChar w:fldCharType="begin"/>
    </w:r>
    <w:r w:rsidRPr="008D7CCC">
      <w:rPr>
        <w:rFonts w:ascii="Verdana" w:hAnsi="Verdana"/>
        <w:sz w:val="20"/>
        <w:szCs w:val="20"/>
      </w:rPr>
      <w:instrText xml:space="preserve"> PAGE </w:instrText>
    </w:r>
    <w:r w:rsidR="0010108D" w:rsidRPr="008D7CCC">
      <w:rPr>
        <w:rFonts w:ascii="Verdana" w:hAnsi="Verdana"/>
        <w:sz w:val="20"/>
        <w:szCs w:val="20"/>
      </w:rPr>
      <w:fldChar w:fldCharType="separate"/>
    </w:r>
    <w:r w:rsidR="0081600A">
      <w:rPr>
        <w:rFonts w:ascii="Verdana" w:hAnsi="Verdana"/>
        <w:noProof/>
        <w:sz w:val="20"/>
        <w:szCs w:val="20"/>
      </w:rPr>
      <w:t>2</w:t>
    </w:r>
    <w:r w:rsidR="0010108D" w:rsidRPr="008D7CCC">
      <w:rPr>
        <w:rFonts w:ascii="Verdana" w:hAnsi="Verdana"/>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5253" w:rsidRDefault="00D15253">
      <w:r>
        <w:separator/>
      </w:r>
    </w:p>
  </w:footnote>
  <w:footnote w:type="continuationSeparator" w:id="0">
    <w:p w:rsidR="00D15253" w:rsidRDefault="00D152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F" w:rsidRDefault="001A6A0F">
    <w:pPr>
      <w:pStyle w:val="Header"/>
    </w:pPr>
  </w:p>
  <w:p w:rsidR="001A6A0F" w:rsidRDefault="001A6A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A0F" w:rsidRDefault="001A6A0F" w:rsidP="00B06BB8">
    <w:pPr>
      <w:pStyle w:val="Header"/>
      <w:jc w:val="right"/>
    </w:pPr>
    <w:r>
      <w:rPr>
        <w:noProof/>
        <w:lang w:eastAsia="en-US" w:bidi="ar-SA"/>
      </w:rPr>
      <w:drawing>
        <wp:inline distT="0" distB="0" distL="0" distR="0">
          <wp:extent cx="2495550" cy="1371600"/>
          <wp:effectExtent l="19050" t="0" r="0" b="0"/>
          <wp:docPr id="4" name="Picture 2" descr="ACSS Fin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SS Final Logo"/>
                  <pic:cNvPicPr>
                    <a:picLocks noChangeAspect="1" noChangeArrowheads="1"/>
                  </pic:cNvPicPr>
                </pic:nvPicPr>
                <pic:blipFill>
                  <a:blip r:embed="rId1"/>
                  <a:srcRect l="16121" t="19456" r="15466" b="23305"/>
                  <a:stretch>
                    <a:fillRect/>
                  </a:stretch>
                </pic:blipFill>
                <pic:spPr bwMode="auto">
                  <a:xfrm>
                    <a:off x="0" y="0"/>
                    <a:ext cx="2495550" cy="13716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Wingdings 2" w:hAnsi="Wingdings 2" w:cs="Open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0C4B3A05"/>
    <w:multiLevelType w:val="hybridMultilevel"/>
    <w:tmpl w:val="DCFA2078"/>
    <w:lvl w:ilvl="0" w:tplc="C4104B9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74A47A0A"/>
    <w:multiLevelType w:val="hybridMultilevel"/>
    <w:tmpl w:val="FE42DD80"/>
    <w:lvl w:ilvl="0" w:tplc="AEF0A5E0">
      <w:numFmt w:val="bullet"/>
      <w:lvlText w:val="-"/>
      <w:lvlJc w:val="left"/>
      <w:pPr>
        <w:ind w:left="720" w:hanging="360"/>
      </w:pPr>
      <w:rPr>
        <w:rFonts w:ascii="Helvetica" w:eastAsia="Times New Roman" w:hAnsi="Helvetica" w:cs="Helvetica" w:hint="default"/>
        <w:color w:val="1049B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trackRevisions/>
  <w:defaultTabStop w:val="709"/>
  <w:defaultTableStyle w:val="Normal"/>
  <w:drawingGridHorizontalSpacing w:val="120"/>
  <w:drawingGridVerticalSpacing w:val="0"/>
  <w:displayHorizontalDrawingGridEvery w:val="0"/>
  <w:displayVerticalDrawingGridEvery w:val="0"/>
  <w:noPunctuationKerning/>
  <w:characterSpacingControl w:val="doNotCompress"/>
  <w:strictFirstAndLastChars/>
  <w:hdrShapeDefaults>
    <o:shapedefaults v:ext="edit" spidmax="29698">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0D6EAD"/>
    <w:rsid w:val="000B7711"/>
    <w:rsid w:val="000D6EAD"/>
    <w:rsid w:val="0010108D"/>
    <w:rsid w:val="00114AAD"/>
    <w:rsid w:val="00137F9C"/>
    <w:rsid w:val="00140B56"/>
    <w:rsid w:val="0017781D"/>
    <w:rsid w:val="001A6A0F"/>
    <w:rsid w:val="001B7805"/>
    <w:rsid w:val="002C7081"/>
    <w:rsid w:val="00331D9A"/>
    <w:rsid w:val="0036563A"/>
    <w:rsid w:val="003A0BF1"/>
    <w:rsid w:val="004F2BFB"/>
    <w:rsid w:val="00537D98"/>
    <w:rsid w:val="005C4EE1"/>
    <w:rsid w:val="005D1A39"/>
    <w:rsid w:val="005D1E94"/>
    <w:rsid w:val="00617A02"/>
    <w:rsid w:val="00640396"/>
    <w:rsid w:val="006611E6"/>
    <w:rsid w:val="006808C7"/>
    <w:rsid w:val="006D014E"/>
    <w:rsid w:val="006E6426"/>
    <w:rsid w:val="00713029"/>
    <w:rsid w:val="00791B34"/>
    <w:rsid w:val="007B6939"/>
    <w:rsid w:val="007C5243"/>
    <w:rsid w:val="007E738A"/>
    <w:rsid w:val="0081600A"/>
    <w:rsid w:val="008D7CCC"/>
    <w:rsid w:val="008F4CEA"/>
    <w:rsid w:val="008F5254"/>
    <w:rsid w:val="009E370F"/>
    <w:rsid w:val="009E404D"/>
    <w:rsid w:val="00A204FB"/>
    <w:rsid w:val="00A32699"/>
    <w:rsid w:val="00A76E39"/>
    <w:rsid w:val="00A94934"/>
    <w:rsid w:val="00AD0FF0"/>
    <w:rsid w:val="00B06BB8"/>
    <w:rsid w:val="00B252B1"/>
    <w:rsid w:val="00B4781A"/>
    <w:rsid w:val="00B9263B"/>
    <w:rsid w:val="00BF6113"/>
    <w:rsid w:val="00C47CBC"/>
    <w:rsid w:val="00CA3DEB"/>
    <w:rsid w:val="00CB1965"/>
    <w:rsid w:val="00D15253"/>
    <w:rsid w:val="00D369A8"/>
    <w:rsid w:val="00D53459"/>
    <w:rsid w:val="00E2245F"/>
    <w:rsid w:val="00F04DEC"/>
    <w:rsid w:val="00FA643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9698">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A39"/>
    <w:pPr>
      <w:widowControl w:val="0"/>
      <w:suppressAutoHyphens/>
    </w:pPr>
    <w:rPr>
      <w:rFonts w:eastAsia="Arial Unicode MS" w:cs="Arial Unicode MS"/>
      <w:kern w:val="1"/>
      <w:sz w:val="24"/>
      <w:szCs w:val="24"/>
      <w:lang w:eastAsia="hi-IN" w:bidi="hi-IN"/>
    </w:rPr>
  </w:style>
  <w:style w:type="paragraph" w:styleId="Heading2">
    <w:name w:val="heading 2"/>
    <w:basedOn w:val="Normal"/>
    <w:next w:val="Normal"/>
    <w:link w:val="Heading2Char"/>
    <w:uiPriority w:val="9"/>
    <w:unhideWhenUsed/>
    <w:qFormat/>
    <w:rsid w:val="006D014E"/>
    <w:pPr>
      <w:keepNext/>
      <w:keepLines/>
      <w:widowControl/>
      <w:suppressAutoHyphens w:val="0"/>
      <w:spacing w:before="200" w:line="276" w:lineRule="auto"/>
      <w:outlineLvl w:val="1"/>
    </w:pPr>
    <w:rPr>
      <w:rFonts w:asciiTheme="majorHAnsi" w:eastAsiaTheme="majorEastAsia" w:hAnsiTheme="majorHAnsi" w:cstheme="majorBidi"/>
      <w:b/>
      <w:bCs/>
      <w:color w:val="4F81BD" w:themeColor="accent1"/>
      <w:kern w:val="0"/>
      <w:sz w:val="26"/>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5D1A39"/>
    <w:rPr>
      <w:rFonts w:ascii="Wingdings 2" w:hAnsi="Wingdings 2" w:cs="OpenSymbol"/>
    </w:rPr>
  </w:style>
  <w:style w:type="character" w:customStyle="1" w:styleId="WW8Num2z0">
    <w:name w:val="WW8Num2z0"/>
    <w:rsid w:val="005D1A39"/>
    <w:rPr>
      <w:rFonts w:ascii="Wingdings 2" w:hAnsi="Wingdings 2" w:cs="OpenSymbol"/>
    </w:rPr>
  </w:style>
  <w:style w:type="character" w:customStyle="1" w:styleId="WW8Num2z1">
    <w:name w:val="WW8Num2z1"/>
    <w:rsid w:val="005D1A39"/>
    <w:rPr>
      <w:rFonts w:ascii="OpenSymbol" w:hAnsi="OpenSymbol" w:cs="OpenSymbol"/>
    </w:rPr>
  </w:style>
  <w:style w:type="character" w:customStyle="1" w:styleId="Absatz-Standardschriftart">
    <w:name w:val="Absatz-Standardschriftart"/>
    <w:rsid w:val="005D1A39"/>
  </w:style>
  <w:style w:type="character" w:customStyle="1" w:styleId="WW-Absatz-Standardschriftart">
    <w:name w:val="WW-Absatz-Standardschriftart"/>
    <w:rsid w:val="005D1A39"/>
  </w:style>
  <w:style w:type="character" w:customStyle="1" w:styleId="WW-Absatz-Standardschriftart1">
    <w:name w:val="WW-Absatz-Standardschriftart1"/>
    <w:rsid w:val="005D1A39"/>
  </w:style>
  <w:style w:type="character" w:customStyle="1" w:styleId="WW-Absatz-Standardschriftart11">
    <w:name w:val="WW-Absatz-Standardschriftart11"/>
    <w:rsid w:val="005D1A39"/>
  </w:style>
  <w:style w:type="character" w:customStyle="1" w:styleId="WW-Absatz-Standardschriftart111">
    <w:name w:val="WW-Absatz-Standardschriftart111"/>
    <w:rsid w:val="005D1A39"/>
  </w:style>
  <w:style w:type="character" w:customStyle="1" w:styleId="WW-Absatz-Standardschriftart1111">
    <w:name w:val="WW-Absatz-Standardschriftart1111"/>
    <w:rsid w:val="005D1A39"/>
  </w:style>
  <w:style w:type="character" w:customStyle="1" w:styleId="NumberingSymbols">
    <w:name w:val="Numbering Symbols"/>
    <w:rsid w:val="005D1A39"/>
  </w:style>
  <w:style w:type="character" w:customStyle="1" w:styleId="Bullets">
    <w:name w:val="Bullets"/>
    <w:rsid w:val="005D1A39"/>
    <w:rPr>
      <w:rFonts w:ascii="OpenSymbol" w:eastAsia="OpenSymbol" w:hAnsi="OpenSymbol" w:cs="OpenSymbol"/>
    </w:rPr>
  </w:style>
  <w:style w:type="character" w:styleId="Hyperlink">
    <w:name w:val="Hyperlink"/>
    <w:rsid w:val="005D1A39"/>
    <w:rPr>
      <w:color w:val="000080"/>
      <w:u w:val="single"/>
    </w:rPr>
  </w:style>
  <w:style w:type="paragraph" w:customStyle="1" w:styleId="Heading">
    <w:name w:val="Heading"/>
    <w:basedOn w:val="Normal"/>
    <w:next w:val="BodyText"/>
    <w:rsid w:val="005D1A39"/>
    <w:pPr>
      <w:keepNext/>
      <w:spacing w:before="240" w:after="120"/>
    </w:pPr>
    <w:rPr>
      <w:rFonts w:ascii="Arial" w:hAnsi="Arial"/>
      <w:sz w:val="28"/>
      <w:szCs w:val="28"/>
    </w:rPr>
  </w:style>
  <w:style w:type="paragraph" w:styleId="BodyText">
    <w:name w:val="Body Text"/>
    <w:basedOn w:val="Normal"/>
    <w:rsid w:val="005D1A39"/>
    <w:pPr>
      <w:spacing w:after="120"/>
    </w:pPr>
  </w:style>
  <w:style w:type="paragraph" w:styleId="List">
    <w:name w:val="List"/>
    <w:basedOn w:val="BodyText"/>
    <w:rsid w:val="005D1A39"/>
  </w:style>
  <w:style w:type="paragraph" w:styleId="Caption">
    <w:name w:val="caption"/>
    <w:basedOn w:val="Normal"/>
    <w:qFormat/>
    <w:rsid w:val="005D1A39"/>
    <w:pPr>
      <w:suppressLineNumbers/>
      <w:spacing w:before="120" w:after="120"/>
    </w:pPr>
    <w:rPr>
      <w:i/>
      <w:iCs/>
    </w:rPr>
  </w:style>
  <w:style w:type="paragraph" w:customStyle="1" w:styleId="Index">
    <w:name w:val="Index"/>
    <w:basedOn w:val="Normal"/>
    <w:rsid w:val="005D1A39"/>
    <w:pPr>
      <w:suppressLineNumbers/>
    </w:pPr>
  </w:style>
  <w:style w:type="paragraph" w:customStyle="1" w:styleId="Framecontents">
    <w:name w:val="Frame contents"/>
    <w:basedOn w:val="BodyText"/>
    <w:rsid w:val="005D1A39"/>
  </w:style>
  <w:style w:type="paragraph" w:customStyle="1" w:styleId="TableContents">
    <w:name w:val="Table Contents"/>
    <w:basedOn w:val="Normal"/>
    <w:rsid w:val="005D1A39"/>
    <w:pPr>
      <w:suppressLineNumbers/>
    </w:pPr>
  </w:style>
  <w:style w:type="paragraph" w:customStyle="1" w:styleId="TableHeading">
    <w:name w:val="Table Heading"/>
    <w:basedOn w:val="TableContents"/>
    <w:rsid w:val="005D1A39"/>
    <w:pPr>
      <w:jc w:val="center"/>
    </w:pPr>
    <w:rPr>
      <w:b/>
      <w:bCs/>
    </w:rPr>
  </w:style>
  <w:style w:type="paragraph" w:styleId="Footer">
    <w:name w:val="footer"/>
    <w:basedOn w:val="Normal"/>
    <w:rsid w:val="005D1A39"/>
    <w:pPr>
      <w:suppressLineNumbers/>
      <w:tabs>
        <w:tab w:val="center" w:pos="4819"/>
        <w:tab w:val="right" w:pos="9638"/>
      </w:tabs>
    </w:pPr>
  </w:style>
  <w:style w:type="paragraph" w:styleId="Header">
    <w:name w:val="header"/>
    <w:basedOn w:val="Normal"/>
    <w:link w:val="HeaderChar"/>
    <w:uiPriority w:val="99"/>
    <w:rsid w:val="005D1A39"/>
    <w:pPr>
      <w:suppressLineNumbers/>
      <w:tabs>
        <w:tab w:val="center" w:pos="4819"/>
        <w:tab w:val="right" w:pos="9638"/>
      </w:tabs>
    </w:pPr>
  </w:style>
  <w:style w:type="table" w:styleId="TableGrid">
    <w:name w:val="Table Grid"/>
    <w:basedOn w:val="TableNormal"/>
    <w:uiPriority w:val="59"/>
    <w:rsid w:val="00D534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rsid w:val="00B06BB8"/>
    <w:rPr>
      <w:rFonts w:eastAsia="Arial Unicode MS" w:cs="Arial Unicode MS"/>
      <w:kern w:val="1"/>
      <w:sz w:val="24"/>
      <w:szCs w:val="24"/>
      <w:lang w:eastAsia="hi-IN" w:bidi="hi-IN"/>
    </w:rPr>
  </w:style>
  <w:style w:type="paragraph" w:styleId="BalloonText">
    <w:name w:val="Balloon Text"/>
    <w:basedOn w:val="Normal"/>
    <w:link w:val="BalloonTextChar"/>
    <w:uiPriority w:val="99"/>
    <w:semiHidden/>
    <w:unhideWhenUsed/>
    <w:rsid w:val="00B06BB8"/>
    <w:rPr>
      <w:rFonts w:ascii="Tahoma" w:hAnsi="Tahoma" w:cs="Mangal"/>
      <w:sz w:val="16"/>
      <w:szCs w:val="14"/>
    </w:rPr>
  </w:style>
  <w:style w:type="character" w:customStyle="1" w:styleId="BalloonTextChar">
    <w:name w:val="Balloon Text Char"/>
    <w:basedOn w:val="DefaultParagraphFont"/>
    <w:link w:val="BalloonText"/>
    <w:uiPriority w:val="99"/>
    <w:semiHidden/>
    <w:rsid w:val="00B06BB8"/>
    <w:rPr>
      <w:rFonts w:ascii="Tahoma" w:eastAsia="Arial Unicode MS" w:hAnsi="Tahoma" w:cs="Mangal"/>
      <w:kern w:val="1"/>
      <w:sz w:val="16"/>
      <w:szCs w:val="14"/>
      <w:lang w:eastAsia="hi-IN" w:bidi="hi-IN"/>
    </w:rPr>
  </w:style>
  <w:style w:type="character" w:customStyle="1" w:styleId="Heading2Char">
    <w:name w:val="Heading 2 Char"/>
    <w:basedOn w:val="DefaultParagraphFont"/>
    <w:link w:val="Heading2"/>
    <w:uiPriority w:val="9"/>
    <w:rsid w:val="006D014E"/>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6D014E"/>
    <w:pPr>
      <w:widowControl/>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styleId="NoSpacing">
    <w:name w:val="No Spacing"/>
    <w:uiPriority w:val="1"/>
    <w:qFormat/>
    <w:rsid w:val="009E370F"/>
    <w:pPr>
      <w:widowControl w:val="0"/>
      <w:suppressAutoHyphens/>
    </w:pPr>
    <w:rPr>
      <w:rFonts w:eastAsia="Arial Unicode MS" w:cs="Mangal"/>
      <w:kern w:val="1"/>
      <w:sz w:val="24"/>
      <w:szCs w:val="21"/>
      <w:lang w:eastAsia="hi-IN" w:bidi="hi-IN"/>
    </w:rPr>
  </w:style>
  <w:style w:type="character" w:styleId="CommentReference">
    <w:name w:val="annotation reference"/>
    <w:basedOn w:val="DefaultParagraphFont"/>
    <w:uiPriority w:val="99"/>
    <w:semiHidden/>
    <w:unhideWhenUsed/>
    <w:rsid w:val="001A6A0F"/>
    <w:rPr>
      <w:sz w:val="16"/>
      <w:szCs w:val="16"/>
    </w:rPr>
  </w:style>
  <w:style w:type="paragraph" w:styleId="CommentText">
    <w:name w:val="annotation text"/>
    <w:basedOn w:val="Normal"/>
    <w:link w:val="CommentTextChar"/>
    <w:uiPriority w:val="99"/>
    <w:semiHidden/>
    <w:unhideWhenUsed/>
    <w:rsid w:val="001A6A0F"/>
    <w:rPr>
      <w:rFonts w:cs="Mangal"/>
      <w:sz w:val="20"/>
      <w:szCs w:val="18"/>
    </w:rPr>
  </w:style>
  <w:style w:type="character" w:customStyle="1" w:styleId="CommentTextChar">
    <w:name w:val="Comment Text Char"/>
    <w:basedOn w:val="DefaultParagraphFont"/>
    <w:link w:val="CommentText"/>
    <w:uiPriority w:val="99"/>
    <w:semiHidden/>
    <w:rsid w:val="001A6A0F"/>
    <w:rPr>
      <w:rFonts w:eastAsia="Arial Unicode MS" w:cs="Mangal"/>
      <w:kern w:val="1"/>
      <w:szCs w:val="18"/>
      <w:lang w:eastAsia="hi-IN" w:bidi="hi-IN"/>
    </w:rPr>
  </w:style>
  <w:style w:type="paragraph" w:styleId="CommentSubject">
    <w:name w:val="annotation subject"/>
    <w:basedOn w:val="CommentText"/>
    <w:next w:val="CommentText"/>
    <w:link w:val="CommentSubjectChar"/>
    <w:uiPriority w:val="99"/>
    <w:semiHidden/>
    <w:unhideWhenUsed/>
    <w:rsid w:val="001A6A0F"/>
    <w:rPr>
      <w:b/>
      <w:bCs/>
    </w:rPr>
  </w:style>
  <w:style w:type="character" w:customStyle="1" w:styleId="CommentSubjectChar">
    <w:name w:val="Comment Subject Char"/>
    <w:basedOn w:val="CommentTextChar"/>
    <w:link w:val="CommentSubject"/>
    <w:uiPriority w:val="99"/>
    <w:semiHidden/>
    <w:rsid w:val="001A6A0F"/>
    <w:rPr>
      <w:b/>
      <w:bCs/>
    </w:rPr>
  </w:style>
</w:styles>
</file>

<file path=word/webSettings.xml><?xml version="1.0" encoding="utf-8"?>
<w:webSettings xmlns:r="http://schemas.openxmlformats.org/officeDocument/2006/relationships" xmlns:w="http://schemas.openxmlformats.org/wordprocessingml/2006/main">
  <w:divs>
    <w:div w:id="241527539">
      <w:bodyDiv w:val="1"/>
      <w:marLeft w:val="0"/>
      <w:marRight w:val="0"/>
      <w:marTop w:val="0"/>
      <w:marBottom w:val="0"/>
      <w:divBdr>
        <w:top w:val="none" w:sz="0" w:space="0" w:color="auto"/>
        <w:left w:val="none" w:sz="0" w:space="0" w:color="auto"/>
        <w:bottom w:val="none" w:sz="0" w:space="0" w:color="auto"/>
        <w:right w:val="none" w:sz="0" w:space="0" w:color="auto"/>
      </w:divBdr>
    </w:div>
    <w:div w:id="883954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heacss.org/pages/inequality-mobility-developmen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heacss.org/pages/new-paradigms" TargetMode="External"/><Relationship Id="rId12" Type="http://schemas.openxmlformats.org/officeDocument/2006/relationships/hyperlink" Target="http://www.theacss.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dmin@theacss.or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admin@theacss.org" TargetMode="External"/><Relationship Id="rId4" Type="http://schemas.openxmlformats.org/officeDocument/2006/relationships/webSettings" Target="webSettings.xml"/><Relationship Id="rId9" Type="http://schemas.openxmlformats.org/officeDocument/2006/relationships/hyperlink" Target="http://www.theacss.org/pages/research/28/producing-the-public-in-arab-societies_participation-spaces-medi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1325</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SSRC</Company>
  <LinksUpToDate>false</LinksUpToDate>
  <CharactersWithSpaces>8866</CharactersWithSpaces>
  <SharedDoc>false</SharedDoc>
  <HLinks>
    <vt:vector size="6" baseType="variant">
      <vt:variant>
        <vt:i4>2687047</vt:i4>
      </vt:variant>
      <vt:variant>
        <vt:i4>0</vt:i4>
      </vt:variant>
      <vt:variant>
        <vt:i4>0</vt:i4>
      </vt:variant>
      <vt:variant>
        <vt:i4>5</vt:i4>
      </vt:variant>
      <vt:variant>
        <vt:lpwstr>mailto:membership@acss.org.lb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Khalaf</dc:creator>
  <cp:keywords/>
  <cp:lastModifiedBy>Anonymous</cp:lastModifiedBy>
  <cp:revision>5</cp:revision>
  <cp:lastPrinted>2012-09-06T20:31:00Z</cp:lastPrinted>
  <dcterms:created xsi:type="dcterms:W3CDTF">2013-01-07T07:35:00Z</dcterms:created>
  <dcterms:modified xsi:type="dcterms:W3CDTF">2013-01-07T07:49:00Z</dcterms:modified>
</cp:coreProperties>
</file>